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5" w:type="dxa"/>
        <w:tblLook w:val="04A0" w:firstRow="1" w:lastRow="0" w:firstColumn="1" w:lastColumn="0" w:noHBand="0" w:noVBand="1"/>
      </w:tblPr>
      <w:tblGrid>
        <w:gridCol w:w="2875"/>
        <w:gridCol w:w="1710"/>
        <w:gridCol w:w="1710"/>
        <w:gridCol w:w="1710"/>
        <w:gridCol w:w="2790"/>
      </w:tblGrid>
      <w:tr w:rsidR="00C838D0" w:rsidRPr="00852EAE" w14:paraId="592D88C3" w14:textId="77777777" w:rsidTr="00BB3591">
        <w:tc>
          <w:tcPr>
            <w:tcW w:w="10795" w:type="dxa"/>
            <w:gridSpan w:val="5"/>
            <w:tcMar>
              <w:top w:w="58" w:type="dxa"/>
              <w:left w:w="58" w:type="dxa"/>
              <w:bottom w:w="58" w:type="dxa"/>
              <w:right w:w="58" w:type="dxa"/>
            </w:tcMar>
          </w:tcPr>
          <w:p w14:paraId="2F6BE499" w14:textId="77777777" w:rsidR="00C838D0" w:rsidRPr="00690D0A" w:rsidRDefault="00C838D0" w:rsidP="00BB3591">
            <w:pPr>
              <w:rPr>
                <w:rFonts w:ascii="Calibri" w:hAnsi="Calibri" w:cs="Calibri"/>
              </w:rPr>
            </w:pPr>
            <w:bookmarkStart w:id="0" w:name="_Hlk213505792"/>
            <w:r w:rsidRPr="00690D0A">
              <w:rPr>
                <w:rFonts w:ascii="Calibri" w:hAnsi="Calibri" w:cs="Calibri"/>
                <w:b/>
                <w:sz w:val="24"/>
                <w:szCs w:val="24"/>
              </w:rPr>
              <w:t>Delta Dental of Michigan Clinical Criteria for Utilization Management Decisions</w:t>
            </w:r>
          </w:p>
        </w:tc>
      </w:tr>
      <w:tr w:rsidR="00C838D0" w:rsidRPr="00227BA1" w14:paraId="2A47A239" w14:textId="77777777" w:rsidTr="00BB3591">
        <w:trPr>
          <w:trHeight w:val="210"/>
        </w:trPr>
        <w:tc>
          <w:tcPr>
            <w:tcW w:w="2875" w:type="dxa"/>
            <w:tcMar>
              <w:top w:w="58" w:type="dxa"/>
              <w:left w:w="58" w:type="dxa"/>
              <w:bottom w:w="58" w:type="dxa"/>
              <w:right w:w="58" w:type="dxa"/>
            </w:tcMar>
          </w:tcPr>
          <w:p w14:paraId="42E4901C" w14:textId="5314111C" w:rsidR="00C838D0" w:rsidRPr="00690D0A" w:rsidRDefault="00C838D0" w:rsidP="00BB3591">
            <w:pPr>
              <w:rPr>
                <w:rFonts w:ascii="Calibri" w:hAnsi="Calibri" w:cs="Calibri"/>
              </w:rPr>
            </w:pPr>
            <w:r w:rsidRPr="00690D0A">
              <w:rPr>
                <w:rFonts w:ascii="Calibri" w:hAnsi="Calibri" w:cs="Calibri"/>
              </w:rPr>
              <w:t>Reference Number: 282.</w:t>
            </w:r>
            <w:r>
              <w:rPr>
                <w:rFonts w:ascii="Calibri" w:hAnsi="Calibri" w:cs="Calibri"/>
              </w:rPr>
              <w:t>31</w:t>
            </w:r>
            <w:r w:rsidRPr="00690D0A">
              <w:rPr>
                <w:rFonts w:ascii="Calibri" w:hAnsi="Calibri" w:cs="Calibri"/>
              </w:rPr>
              <w:t xml:space="preserve"> v3</w:t>
            </w:r>
          </w:p>
        </w:tc>
        <w:tc>
          <w:tcPr>
            <w:tcW w:w="7920" w:type="dxa"/>
            <w:gridSpan w:val="4"/>
            <w:tcMar>
              <w:top w:w="58" w:type="dxa"/>
              <w:left w:w="58" w:type="dxa"/>
              <w:bottom w:w="58" w:type="dxa"/>
              <w:right w:w="58" w:type="dxa"/>
            </w:tcMar>
          </w:tcPr>
          <w:p w14:paraId="557951E5" w14:textId="1AAE6F31" w:rsidR="00C838D0" w:rsidRPr="00690D0A" w:rsidRDefault="00C838D0" w:rsidP="00BB3591">
            <w:pPr>
              <w:rPr>
                <w:rFonts w:ascii="Calibri" w:hAnsi="Calibri" w:cs="Calibri"/>
              </w:rPr>
            </w:pPr>
            <w:r w:rsidRPr="00690D0A">
              <w:rPr>
                <w:rFonts w:ascii="Calibri" w:hAnsi="Calibri" w:cs="Calibri"/>
              </w:rPr>
              <w:t xml:space="preserve">Title: Clinical Criteria for </w:t>
            </w:r>
            <w:r w:rsidRPr="00C838D0">
              <w:rPr>
                <w:rFonts w:ascii="Calibri" w:hAnsi="Calibri" w:cs="Calibri"/>
              </w:rPr>
              <w:t>Periodontal Osseous Surgery</w:t>
            </w:r>
          </w:p>
        </w:tc>
      </w:tr>
      <w:tr w:rsidR="00C838D0" w:rsidRPr="00F91B91" w14:paraId="2DE117A8" w14:textId="77777777" w:rsidTr="00BB3591">
        <w:tc>
          <w:tcPr>
            <w:tcW w:w="2875" w:type="dxa"/>
            <w:tcMar>
              <w:top w:w="58" w:type="dxa"/>
              <w:left w:w="58" w:type="dxa"/>
              <w:bottom w:w="58" w:type="dxa"/>
              <w:right w:w="58" w:type="dxa"/>
            </w:tcMar>
          </w:tcPr>
          <w:p w14:paraId="19272AFE" w14:textId="77777777" w:rsidR="00C838D0" w:rsidRPr="00690D0A" w:rsidRDefault="00C838D0" w:rsidP="00BB3591">
            <w:pPr>
              <w:rPr>
                <w:rFonts w:ascii="Calibri" w:hAnsi="Calibri" w:cs="Calibri"/>
                <w:sz w:val="20"/>
                <w:szCs w:val="20"/>
              </w:rPr>
            </w:pPr>
            <w:r w:rsidRPr="00690D0A">
              <w:rPr>
                <w:rFonts w:ascii="Calibri" w:hAnsi="Calibri" w:cs="Calibri"/>
                <w:sz w:val="20"/>
                <w:szCs w:val="20"/>
              </w:rPr>
              <w:t>Issue Date (Effective Date):</w:t>
            </w:r>
          </w:p>
          <w:p w14:paraId="0EA9144A" w14:textId="77777777" w:rsidR="00C838D0" w:rsidRPr="00690D0A" w:rsidRDefault="00C838D0" w:rsidP="00BB3591">
            <w:pPr>
              <w:rPr>
                <w:rFonts w:ascii="Calibri" w:hAnsi="Calibri" w:cs="Calibri"/>
                <w:sz w:val="20"/>
                <w:szCs w:val="20"/>
              </w:rPr>
            </w:pPr>
            <w:r w:rsidRPr="00690D0A">
              <w:rPr>
                <w:rFonts w:ascii="Calibri" w:hAnsi="Calibri" w:cs="Calibri"/>
                <w:sz w:val="20"/>
                <w:szCs w:val="20"/>
              </w:rPr>
              <w:t>12/1/2024</w:t>
            </w:r>
          </w:p>
        </w:tc>
        <w:tc>
          <w:tcPr>
            <w:tcW w:w="1710" w:type="dxa"/>
            <w:tcMar>
              <w:top w:w="58" w:type="dxa"/>
              <w:left w:w="58" w:type="dxa"/>
              <w:bottom w:w="58" w:type="dxa"/>
              <w:right w:w="58" w:type="dxa"/>
            </w:tcMar>
          </w:tcPr>
          <w:p w14:paraId="077C0F56" w14:textId="77777777" w:rsidR="00C838D0" w:rsidRPr="00690D0A" w:rsidRDefault="00C838D0" w:rsidP="00BB3591">
            <w:pPr>
              <w:rPr>
                <w:rFonts w:ascii="Calibri" w:hAnsi="Calibri" w:cs="Calibri"/>
                <w:sz w:val="20"/>
                <w:szCs w:val="20"/>
              </w:rPr>
            </w:pPr>
            <w:r w:rsidRPr="00690D0A">
              <w:rPr>
                <w:rFonts w:ascii="Calibri" w:hAnsi="Calibri" w:cs="Calibri"/>
                <w:sz w:val="20"/>
                <w:szCs w:val="20"/>
              </w:rPr>
              <w:t>Next Review Date:</w:t>
            </w:r>
          </w:p>
          <w:p w14:paraId="3D650F6A" w14:textId="370CBC4F" w:rsidR="00C838D0" w:rsidRPr="00690D0A" w:rsidRDefault="00C838D0" w:rsidP="00BB3591">
            <w:pPr>
              <w:rPr>
                <w:rFonts w:ascii="Calibri" w:hAnsi="Calibri" w:cs="Calibri"/>
                <w:sz w:val="20"/>
                <w:szCs w:val="20"/>
              </w:rPr>
            </w:pPr>
            <w:r w:rsidRPr="00690D0A">
              <w:rPr>
                <w:rFonts w:ascii="Calibri" w:hAnsi="Calibri" w:cs="Calibri"/>
                <w:sz w:val="20"/>
                <w:szCs w:val="20"/>
              </w:rPr>
              <w:t>8/1/2026</w:t>
            </w:r>
          </w:p>
        </w:tc>
        <w:tc>
          <w:tcPr>
            <w:tcW w:w="1710" w:type="dxa"/>
            <w:tcMar>
              <w:top w:w="58" w:type="dxa"/>
              <w:left w:w="58" w:type="dxa"/>
              <w:bottom w:w="58" w:type="dxa"/>
              <w:right w:w="58" w:type="dxa"/>
            </w:tcMar>
          </w:tcPr>
          <w:p w14:paraId="690D1FAF" w14:textId="77777777" w:rsidR="00C838D0" w:rsidRPr="00690D0A" w:rsidRDefault="00C838D0" w:rsidP="00BB3591">
            <w:pPr>
              <w:rPr>
                <w:rFonts w:ascii="Calibri" w:hAnsi="Calibri" w:cs="Calibri"/>
                <w:sz w:val="20"/>
                <w:szCs w:val="20"/>
              </w:rPr>
            </w:pPr>
            <w:r w:rsidRPr="00690D0A">
              <w:rPr>
                <w:rFonts w:ascii="Calibri" w:hAnsi="Calibri" w:cs="Calibri"/>
                <w:sz w:val="20"/>
                <w:szCs w:val="20"/>
              </w:rPr>
              <w:t>Last Review Date:</w:t>
            </w:r>
          </w:p>
          <w:p w14:paraId="37857609" w14:textId="7EA0EB3A" w:rsidR="00C838D0" w:rsidRPr="00690D0A" w:rsidRDefault="00C838D0" w:rsidP="00BB3591">
            <w:pPr>
              <w:rPr>
                <w:rFonts w:ascii="Calibri" w:hAnsi="Calibri" w:cs="Calibri"/>
                <w:sz w:val="20"/>
                <w:szCs w:val="20"/>
              </w:rPr>
            </w:pPr>
            <w:r w:rsidRPr="00690D0A">
              <w:rPr>
                <w:rFonts w:ascii="Calibri" w:hAnsi="Calibri" w:cs="Calibri"/>
                <w:sz w:val="20"/>
                <w:szCs w:val="20"/>
              </w:rPr>
              <w:t>8/1/2025</w:t>
            </w:r>
          </w:p>
        </w:tc>
        <w:tc>
          <w:tcPr>
            <w:tcW w:w="1710" w:type="dxa"/>
            <w:tcMar>
              <w:top w:w="58" w:type="dxa"/>
              <w:left w:w="58" w:type="dxa"/>
              <w:bottom w:w="58" w:type="dxa"/>
              <w:right w:w="58" w:type="dxa"/>
            </w:tcMar>
          </w:tcPr>
          <w:p w14:paraId="160DFB9B" w14:textId="77777777" w:rsidR="00C838D0" w:rsidRPr="00690D0A" w:rsidRDefault="00C838D0" w:rsidP="00BB3591">
            <w:pPr>
              <w:rPr>
                <w:rFonts w:ascii="Calibri" w:hAnsi="Calibri" w:cs="Calibri"/>
                <w:sz w:val="20"/>
                <w:szCs w:val="20"/>
              </w:rPr>
            </w:pPr>
            <w:r w:rsidRPr="00690D0A">
              <w:rPr>
                <w:rFonts w:ascii="Calibri" w:hAnsi="Calibri" w:cs="Calibri"/>
                <w:sz w:val="20"/>
                <w:szCs w:val="20"/>
              </w:rPr>
              <w:t>Last Revised Date:</w:t>
            </w:r>
          </w:p>
          <w:p w14:paraId="317A35F6" w14:textId="1BC2BD00" w:rsidR="00C838D0" w:rsidRPr="00690D0A" w:rsidRDefault="00C66F78" w:rsidP="00BB3591">
            <w:pPr>
              <w:rPr>
                <w:rFonts w:ascii="Calibri" w:hAnsi="Calibri" w:cs="Calibri"/>
                <w:sz w:val="20"/>
                <w:szCs w:val="20"/>
              </w:rPr>
            </w:pPr>
            <w:r>
              <w:rPr>
                <w:rFonts w:ascii="Calibri" w:hAnsi="Calibri" w:cs="Calibri"/>
                <w:sz w:val="20"/>
                <w:szCs w:val="20"/>
              </w:rPr>
              <w:t>2/18/2026</w:t>
            </w:r>
          </w:p>
        </w:tc>
        <w:tc>
          <w:tcPr>
            <w:tcW w:w="2790" w:type="dxa"/>
            <w:tcMar>
              <w:top w:w="58" w:type="dxa"/>
              <w:left w:w="58" w:type="dxa"/>
              <w:bottom w:w="58" w:type="dxa"/>
              <w:right w:w="58" w:type="dxa"/>
            </w:tcMar>
          </w:tcPr>
          <w:p w14:paraId="3874F13D" w14:textId="77777777" w:rsidR="00C838D0" w:rsidRPr="00690D0A" w:rsidRDefault="00C838D0" w:rsidP="00BB3591">
            <w:pPr>
              <w:rPr>
                <w:rFonts w:ascii="Calibri" w:hAnsi="Calibri" w:cs="Calibri"/>
                <w:sz w:val="20"/>
                <w:szCs w:val="20"/>
              </w:rPr>
            </w:pPr>
            <w:r w:rsidRPr="00690D0A">
              <w:rPr>
                <w:rFonts w:ascii="Calibri" w:hAnsi="Calibri" w:cs="Calibri"/>
                <w:sz w:val="20"/>
                <w:szCs w:val="20"/>
              </w:rPr>
              <w:t>UM Committee Approval Date:</w:t>
            </w:r>
          </w:p>
          <w:p w14:paraId="795786F3" w14:textId="77777777" w:rsidR="00C838D0" w:rsidRPr="00690D0A" w:rsidRDefault="00C838D0" w:rsidP="00BB3591">
            <w:pPr>
              <w:rPr>
                <w:rFonts w:ascii="Calibri" w:hAnsi="Calibri" w:cs="Calibri"/>
                <w:sz w:val="20"/>
                <w:szCs w:val="20"/>
              </w:rPr>
            </w:pPr>
            <w:r>
              <w:rPr>
                <w:rFonts w:ascii="Calibri" w:hAnsi="Calibri" w:cs="Calibri"/>
                <w:sz w:val="20"/>
                <w:szCs w:val="20"/>
              </w:rPr>
              <w:t>11</w:t>
            </w:r>
            <w:r w:rsidRPr="00690D0A">
              <w:rPr>
                <w:rFonts w:ascii="Calibri" w:hAnsi="Calibri" w:cs="Calibri"/>
                <w:sz w:val="20"/>
                <w:szCs w:val="20"/>
              </w:rPr>
              <w:t>/</w:t>
            </w:r>
            <w:r>
              <w:rPr>
                <w:rFonts w:ascii="Calibri" w:hAnsi="Calibri" w:cs="Calibri"/>
                <w:sz w:val="20"/>
                <w:szCs w:val="20"/>
              </w:rPr>
              <w:t>12</w:t>
            </w:r>
            <w:r w:rsidRPr="00690D0A">
              <w:rPr>
                <w:rFonts w:ascii="Calibri" w:hAnsi="Calibri" w:cs="Calibri"/>
                <w:sz w:val="20"/>
                <w:szCs w:val="20"/>
              </w:rPr>
              <w:t>/2024</w:t>
            </w:r>
          </w:p>
        </w:tc>
      </w:tr>
      <w:bookmarkEnd w:id="0"/>
    </w:tbl>
    <w:p w14:paraId="2AD102F9" w14:textId="77777777" w:rsidR="00C838D0" w:rsidRPr="00852EAE" w:rsidRDefault="00C838D0" w:rsidP="00F23A8D">
      <w:pPr>
        <w:rPr>
          <w:rFonts w:cstheme="minorHAnsi"/>
          <w:b/>
        </w:rPr>
      </w:pPr>
    </w:p>
    <w:p w14:paraId="2826714D" w14:textId="77777777" w:rsidR="00160808" w:rsidRPr="004B7131" w:rsidRDefault="00137127" w:rsidP="00F23A8D">
      <w:pPr>
        <w:rPr>
          <w:rFonts w:cstheme="minorHAnsi"/>
          <w:b/>
          <w:sz w:val="24"/>
          <w:szCs w:val="24"/>
        </w:rPr>
      </w:pPr>
      <w:r w:rsidRPr="004B7131">
        <w:rPr>
          <w:rFonts w:cstheme="minorHAnsi"/>
          <w:b/>
          <w:sz w:val="24"/>
          <w:szCs w:val="24"/>
        </w:rPr>
        <w:t>Introduction</w:t>
      </w:r>
    </w:p>
    <w:p w14:paraId="65D55CF4" w14:textId="77777777" w:rsidR="00137127" w:rsidRPr="00745E04" w:rsidRDefault="00137127" w:rsidP="00F23A8D">
      <w:pPr>
        <w:rPr>
          <w:rFonts w:cstheme="minorHAnsi"/>
        </w:rPr>
      </w:pPr>
    </w:p>
    <w:p w14:paraId="7DF6EA71" w14:textId="251288D5" w:rsidR="0072460F" w:rsidRPr="0072460F" w:rsidRDefault="0072460F" w:rsidP="0072460F">
      <w:pPr>
        <w:rPr>
          <w:rFonts w:cstheme="minorHAnsi"/>
        </w:rPr>
      </w:pPr>
      <w:r w:rsidRPr="0072460F">
        <w:rPr>
          <w:rFonts w:cstheme="minorHAnsi"/>
        </w:rPr>
        <w:t xml:space="preserve">This Delta Dental of Michigan (Delta Dental) clinical criteria document addresses </w:t>
      </w:r>
      <w:r w:rsidR="00BA1F52">
        <w:rPr>
          <w:rFonts w:cstheme="minorHAnsi"/>
        </w:rPr>
        <w:t>periodontal osseous surgery</w:t>
      </w:r>
      <w:r w:rsidRPr="0072460F">
        <w:rPr>
          <w:rFonts w:cstheme="minorHAnsi"/>
        </w:rPr>
        <w:t xml:space="preserve">. The purpose of this document is to provide written clinical criteria to ensure that Delta Dental consistently applies sound and objective clinical evidence when determining the medical necessity and clinical appropriateness of </w:t>
      </w:r>
      <w:r w:rsidR="001A1DCE">
        <w:rPr>
          <w:rFonts w:cstheme="minorHAnsi"/>
        </w:rPr>
        <w:t xml:space="preserve">the </w:t>
      </w:r>
      <w:r w:rsidR="00E30AEF">
        <w:rPr>
          <w:rFonts w:cstheme="minorHAnsi"/>
        </w:rPr>
        <w:t>osseous surgery</w:t>
      </w:r>
      <w:r w:rsidR="001A1DCE">
        <w:rPr>
          <w:rFonts w:cstheme="minorHAnsi"/>
        </w:rPr>
        <w:t xml:space="preserve"> procedure</w:t>
      </w:r>
      <w:r w:rsidRPr="0072460F">
        <w:rPr>
          <w:rFonts w:cstheme="minorHAnsi"/>
        </w:rPr>
        <w:t>, as well as taking individual patient circumstances and the local delivery system into account.</w:t>
      </w:r>
    </w:p>
    <w:p w14:paraId="599C6DD0" w14:textId="77777777" w:rsidR="0072460F" w:rsidRDefault="0072460F" w:rsidP="0072460F">
      <w:pPr>
        <w:rPr>
          <w:rFonts w:cstheme="minorHAnsi"/>
        </w:rPr>
      </w:pPr>
    </w:p>
    <w:p w14:paraId="6BCCA654" w14:textId="15947D68" w:rsidR="00BA1F52" w:rsidRDefault="00543F5D" w:rsidP="00BA1F52">
      <w:pPr>
        <w:rPr>
          <w:rFonts w:cstheme="minorHAnsi"/>
        </w:rPr>
      </w:pPr>
      <w:r w:rsidRPr="00543F5D">
        <w:rPr>
          <w:rFonts w:cstheme="minorHAnsi"/>
        </w:rPr>
        <w:t>As a periodontal disease, the progression of periodontitis causes the loss of connective tissue attachment as well as the loss of supporting alveolar bone around the teeth in vertical and/or horizontal destructive patterns. This disease process  can create uneven bony contours with disparity in form between bone and gingiva with the formation of deeper periodontal pockets. This condition can make effective disease</w:t>
      </w:r>
      <w:r w:rsidR="00B42767">
        <w:rPr>
          <w:rFonts w:cstheme="minorHAnsi"/>
        </w:rPr>
        <w:t xml:space="preserve"> treatment and supportive periodontal care</w:t>
      </w:r>
      <w:r w:rsidRPr="00543F5D">
        <w:rPr>
          <w:rFonts w:cstheme="minorHAnsi"/>
        </w:rPr>
        <w:t xml:space="preserve"> difficult to impossible resulting in a continuation of the disease state and potential tooth loss. As described here, periodontal osseous surgery is a resective procedure that surgically modifies the contours of alveolar bone through reshaping of the bone to achieve a more physiologic form relative to gingival contours. Therapeutic goals of the surgery include removal of bacterial plaque and calculus, as well as the elimination or reduction of deep periodontal pockets that in turn facilitates the control of periodont</w:t>
      </w:r>
      <w:r w:rsidR="00B42767">
        <w:rPr>
          <w:rFonts w:cstheme="minorHAnsi"/>
        </w:rPr>
        <w:t>itis</w:t>
      </w:r>
      <w:r w:rsidRPr="00543F5D">
        <w:rPr>
          <w:rFonts w:cstheme="minorHAnsi"/>
        </w:rPr>
        <w:t xml:space="preserve"> by allowing effective performance of oral hygiene by the patient and periodontal maintenance by the clinician.</w:t>
      </w:r>
    </w:p>
    <w:p w14:paraId="123A2A0D" w14:textId="77777777" w:rsidR="00CB1DCE" w:rsidRDefault="00CB1DCE" w:rsidP="00BA1F52">
      <w:pPr>
        <w:rPr>
          <w:rFonts w:cstheme="minorHAnsi"/>
        </w:rPr>
      </w:pPr>
    </w:p>
    <w:p w14:paraId="7C085804" w14:textId="77777777" w:rsidR="00CB1DCE" w:rsidRPr="00CB1DCE" w:rsidRDefault="00CB1DCE" w:rsidP="00CB1DCE">
      <w:pPr>
        <w:spacing w:after="120"/>
        <w:rPr>
          <w:rFonts w:cstheme="minorHAnsi"/>
        </w:rPr>
      </w:pPr>
      <w:r w:rsidRPr="00CB1DCE">
        <w:rPr>
          <w:rFonts w:cstheme="minorHAnsi"/>
        </w:rPr>
        <w:t>Resective osseous surgery generally involves performance of the following steps:</w:t>
      </w:r>
    </w:p>
    <w:p w14:paraId="67258E0F" w14:textId="75178180" w:rsidR="00CB1DCE" w:rsidRPr="00CB1DCE" w:rsidRDefault="00CB1DCE" w:rsidP="00CB1DCE">
      <w:pPr>
        <w:pStyle w:val="ListParagraph"/>
        <w:numPr>
          <w:ilvl w:val="0"/>
          <w:numId w:val="12"/>
        </w:numPr>
        <w:spacing w:after="120"/>
        <w:ind w:left="360"/>
        <w:contextualSpacing w:val="0"/>
        <w:rPr>
          <w:rFonts w:cstheme="minorHAnsi"/>
        </w:rPr>
      </w:pPr>
      <w:r w:rsidRPr="00CB1DCE">
        <w:rPr>
          <w:rFonts w:cstheme="minorHAnsi"/>
        </w:rPr>
        <w:t>The surgery is initiated by reflection of a full thickness mucoperiosteal flap to allow direct visualization of the involved root surfaces and the full extent of underlying deformities in the alveolar bone caused by periodont</w:t>
      </w:r>
      <w:r w:rsidR="00B42767">
        <w:rPr>
          <w:rFonts w:cstheme="minorHAnsi"/>
        </w:rPr>
        <w:t>itis</w:t>
      </w:r>
      <w:r w:rsidRPr="00CB1DCE">
        <w:rPr>
          <w:rFonts w:cstheme="minorHAnsi"/>
        </w:rPr>
        <w:t>.</w:t>
      </w:r>
    </w:p>
    <w:p w14:paraId="26C7B1FD" w14:textId="59EBF1C9" w:rsidR="00CB1DCE" w:rsidRPr="00CB1DCE" w:rsidRDefault="00543F5D" w:rsidP="00CB1DCE">
      <w:pPr>
        <w:pStyle w:val="ListParagraph"/>
        <w:numPr>
          <w:ilvl w:val="0"/>
          <w:numId w:val="12"/>
        </w:numPr>
        <w:spacing w:after="120"/>
        <w:ind w:left="360"/>
        <w:contextualSpacing w:val="0"/>
        <w:rPr>
          <w:rFonts w:cstheme="minorHAnsi"/>
        </w:rPr>
      </w:pPr>
      <w:r w:rsidRPr="00543F5D">
        <w:rPr>
          <w:rFonts w:cstheme="minorHAnsi"/>
        </w:rPr>
        <w:t xml:space="preserve">The surgery then employs </w:t>
      </w:r>
      <w:r w:rsidR="00B42767">
        <w:rPr>
          <w:rFonts w:cstheme="minorHAnsi"/>
        </w:rPr>
        <w:t>various</w:t>
      </w:r>
      <w:r w:rsidRPr="00543F5D">
        <w:rPr>
          <w:rFonts w:cstheme="minorHAnsi"/>
        </w:rPr>
        <w:t xml:space="preserve"> types of bone removal techniques. Ostectomy is a technique where underlying deformities in the alveolar bone are removed from bone that directly supports the teeth. Osteoplasty reshapes non-supporting bone to provide a more physiologic form for the overlying gingiva. Bone removal may be accomplished by the application of burs, rongeurs, bone chisels, lasers that are approved for ostectomy/osteoplasty of oral osseous tissue or piezoelectric bone surgery devices. The result of bone recontouring commonly leads to an apical shift of bone levels and reduced clinical attachment level.</w:t>
      </w:r>
    </w:p>
    <w:p w14:paraId="5603F6E6" w14:textId="5FC1BF1E" w:rsidR="00CB1DCE" w:rsidRPr="00CB1DCE" w:rsidRDefault="00CB1DCE" w:rsidP="00CB1DCE">
      <w:pPr>
        <w:pStyle w:val="ListParagraph"/>
        <w:numPr>
          <w:ilvl w:val="0"/>
          <w:numId w:val="12"/>
        </w:numPr>
        <w:spacing w:after="120"/>
        <w:ind w:left="360"/>
        <w:contextualSpacing w:val="0"/>
        <w:rPr>
          <w:rFonts w:cstheme="minorHAnsi"/>
        </w:rPr>
      </w:pPr>
      <w:r w:rsidRPr="00CB1DCE">
        <w:rPr>
          <w:rFonts w:cstheme="minorHAnsi"/>
        </w:rPr>
        <w:t>After ostectomy and/or osteoplasty, the root surfaces of the involved teeth are debrided.</w:t>
      </w:r>
    </w:p>
    <w:p w14:paraId="1F62E2D3" w14:textId="19A6A400" w:rsidR="00BA1F52" w:rsidRPr="00CB1DCE" w:rsidRDefault="00CB1DCE" w:rsidP="00CB1DCE">
      <w:pPr>
        <w:pStyle w:val="ListParagraph"/>
        <w:numPr>
          <w:ilvl w:val="0"/>
          <w:numId w:val="12"/>
        </w:numPr>
        <w:ind w:left="360"/>
        <w:rPr>
          <w:rFonts w:cstheme="minorHAnsi"/>
        </w:rPr>
      </w:pPr>
      <w:r w:rsidRPr="00CB1DCE">
        <w:rPr>
          <w:rFonts w:cstheme="minorHAnsi"/>
        </w:rPr>
        <w:t>Surgery is completed by closure of the flap incision wound with suture</w:t>
      </w:r>
      <w:r w:rsidR="00B42767">
        <w:rPr>
          <w:rFonts w:cstheme="minorHAnsi"/>
        </w:rPr>
        <w:t>s</w:t>
      </w:r>
      <w:r w:rsidRPr="00CB1DCE">
        <w:rPr>
          <w:rFonts w:cstheme="minorHAnsi"/>
        </w:rPr>
        <w:t>.</w:t>
      </w:r>
    </w:p>
    <w:p w14:paraId="2637A9EA" w14:textId="77777777" w:rsidR="0072460F" w:rsidRDefault="0072460F" w:rsidP="0072460F">
      <w:pPr>
        <w:rPr>
          <w:rFonts w:cstheme="minorHAnsi"/>
        </w:rPr>
      </w:pPr>
    </w:p>
    <w:p w14:paraId="2E253015" w14:textId="716EECBA" w:rsidR="001E703B" w:rsidRDefault="00BA1F52" w:rsidP="0072460F">
      <w:pPr>
        <w:rPr>
          <w:rFonts w:cstheme="minorHAnsi"/>
        </w:rPr>
      </w:pPr>
      <w:r>
        <w:rPr>
          <w:rFonts w:cstheme="minorHAnsi"/>
        </w:rPr>
        <w:t>Osseous surgery</w:t>
      </w:r>
      <w:r w:rsidR="0072460F" w:rsidRPr="0072460F">
        <w:rPr>
          <w:rFonts w:cstheme="minorHAnsi"/>
        </w:rPr>
        <w:t xml:space="preserve"> may be performed by general dentists, </w:t>
      </w:r>
      <w:r w:rsidR="002D3A86">
        <w:rPr>
          <w:rFonts w:cstheme="minorHAnsi"/>
        </w:rPr>
        <w:t>periodontists</w:t>
      </w:r>
      <w:r w:rsidR="0072460F" w:rsidRPr="0072460F">
        <w:rPr>
          <w:rFonts w:cstheme="minorHAnsi"/>
        </w:rPr>
        <w:t xml:space="preserve"> and other dental specialists in a variety of healthcare facilities.</w:t>
      </w:r>
    </w:p>
    <w:p w14:paraId="0F9414D8" w14:textId="77777777" w:rsidR="0072460F" w:rsidRDefault="0072460F" w:rsidP="0072460F">
      <w:pPr>
        <w:rPr>
          <w:rFonts w:cstheme="minorHAnsi"/>
          <w:bCs/>
        </w:rPr>
      </w:pPr>
    </w:p>
    <w:p w14:paraId="632D8682" w14:textId="5139FEB5" w:rsidR="004521C7" w:rsidRPr="004B7131" w:rsidRDefault="004521C7" w:rsidP="00F23A8D">
      <w:pPr>
        <w:rPr>
          <w:rFonts w:cstheme="minorHAnsi"/>
          <w:b/>
          <w:sz w:val="24"/>
          <w:szCs w:val="24"/>
        </w:rPr>
      </w:pPr>
      <w:r w:rsidRPr="004B7131">
        <w:rPr>
          <w:rFonts w:cstheme="minorHAnsi"/>
          <w:b/>
          <w:sz w:val="24"/>
          <w:szCs w:val="24"/>
        </w:rPr>
        <w:t xml:space="preserve">Applicable </w:t>
      </w:r>
      <w:r w:rsidR="005C4DC6" w:rsidRPr="004B7131">
        <w:rPr>
          <w:rFonts w:cstheme="minorHAnsi"/>
          <w:b/>
          <w:sz w:val="24"/>
          <w:szCs w:val="24"/>
        </w:rPr>
        <w:t xml:space="preserve">Dental </w:t>
      </w:r>
      <w:r w:rsidRPr="004B7131">
        <w:rPr>
          <w:rFonts w:cstheme="minorHAnsi"/>
          <w:b/>
          <w:sz w:val="24"/>
          <w:szCs w:val="24"/>
        </w:rPr>
        <w:t>Procedure Codes</w:t>
      </w:r>
    </w:p>
    <w:p w14:paraId="648E1545" w14:textId="2ED02127" w:rsidR="004521C7" w:rsidRPr="00745E04" w:rsidRDefault="004521C7" w:rsidP="00F23A8D">
      <w:pPr>
        <w:rPr>
          <w:rFonts w:cstheme="minorHAnsi"/>
        </w:rPr>
      </w:pPr>
    </w:p>
    <w:p w14:paraId="10A99743" w14:textId="3FBB8215" w:rsidR="00600A45" w:rsidRDefault="00BA1F52" w:rsidP="00F23A8D">
      <w:pPr>
        <w:autoSpaceDE w:val="0"/>
        <w:autoSpaceDN w:val="0"/>
        <w:adjustRightInd w:val="0"/>
        <w:rPr>
          <w:rFonts w:cstheme="minorHAnsi"/>
          <w:color w:val="000000"/>
        </w:rPr>
      </w:pPr>
      <w:r w:rsidRPr="00BA1F52">
        <w:rPr>
          <w:rFonts w:cstheme="minorHAnsi"/>
          <w:color w:val="000000"/>
        </w:rPr>
        <w:t xml:space="preserve">The following dental procedure codes defined in the current version of the American Dental Association’s Code on Dental Procedures and Nomenclature (the CDT® Code) are applicable to this document and are the appropriate codes to use when documenting osseous surgery. Inclusion of these codes here is for informational purposes only and does not imply benefit coverage or noncoverage of a procedure by a member’s dental plan. A determination that a dental procedure is medically necessary and clinically appropriate does not guarantee that the procedure is a covered benefit </w:t>
      </w:r>
      <w:r w:rsidRPr="00BA1F52">
        <w:rPr>
          <w:rFonts w:cstheme="minorHAnsi"/>
          <w:color w:val="000000"/>
        </w:rPr>
        <w:lastRenderedPageBreak/>
        <w:t>of a member's dental plan. To determine if osseous surgery is a covered benefit of an individual member’s dental plan, please refer to the plan documents in effect on the date of service.</w:t>
      </w:r>
    </w:p>
    <w:p w14:paraId="7A7A21C4" w14:textId="77777777" w:rsidR="00E86CEF" w:rsidRPr="00745E04" w:rsidRDefault="00E86CEF" w:rsidP="00F23A8D">
      <w:pPr>
        <w:rPr>
          <w:rFonts w:cstheme="minorHAnsi"/>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8640"/>
      </w:tblGrid>
      <w:tr w:rsidR="00583BFF" w:rsidRPr="009E28B0" w14:paraId="252BB329" w14:textId="77777777" w:rsidTr="00550591">
        <w:trPr>
          <w:trHeight w:val="264"/>
        </w:trPr>
        <w:tc>
          <w:tcPr>
            <w:tcW w:w="2245" w:type="dxa"/>
            <w:noWrap/>
            <w:tcMar>
              <w:top w:w="58" w:type="dxa"/>
              <w:left w:w="58" w:type="dxa"/>
              <w:bottom w:w="58" w:type="dxa"/>
              <w:right w:w="58" w:type="dxa"/>
            </w:tcMar>
          </w:tcPr>
          <w:p w14:paraId="12C9C211" w14:textId="77777777" w:rsidR="00583BFF" w:rsidRPr="00583BFF" w:rsidRDefault="00583BFF" w:rsidP="000E2962">
            <w:pPr>
              <w:rPr>
                <w:rFonts w:ascii="Arial" w:eastAsia="Times New Roman" w:hAnsi="Arial" w:cs="Arial"/>
              </w:rPr>
            </w:pPr>
            <w:bookmarkStart w:id="1" w:name="_Hlk166017138"/>
            <w:r w:rsidRPr="00583BFF">
              <w:rPr>
                <w:rFonts w:cstheme="minorHAnsi"/>
                <w:b/>
                <w:bCs/>
              </w:rPr>
              <w:t>CDT® Procedure Code</w:t>
            </w:r>
          </w:p>
        </w:tc>
        <w:tc>
          <w:tcPr>
            <w:tcW w:w="8640" w:type="dxa"/>
            <w:noWrap/>
            <w:tcMar>
              <w:top w:w="58" w:type="dxa"/>
              <w:left w:w="58" w:type="dxa"/>
              <w:bottom w:w="58" w:type="dxa"/>
              <w:right w:w="58" w:type="dxa"/>
            </w:tcMar>
          </w:tcPr>
          <w:p w14:paraId="6126B647" w14:textId="77777777" w:rsidR="00583BFF" w:rsidRPr="00583BFF" w:rsidRDefault="00583BFF" w:rsidP="000E2962">
            <w:pPr>
              <w:rPr>
                <w:rFonts w:ascii="Arial" w:eastAsia="Times New Roman" w:hAnsi="Arial" w:cs="Arial"/>
              </w:rPr>
            </w:pPr>
            <w:r w:rsidRPr="00583BFF">
              <w:rPr>
                <w:rFonts w:cstheme="minorHAnsi"/>
                <w:b/>
                <w:bCs/>
              </w:rPr>
              <w:t>Procedure Code Nomenclature</w:t>
            </w:r>
          </w:p>
        </w:tc>
      </w:tr>
      <w:bookmarkEnd w:id="1"/>
      <w:tr w:rsidR="00513C95" w:rsidRPr="009E28B0" w14:paraId="0BBE3570" w14:textId="77777777" w:rsidTr="00550591">
        <w:trPr>
          <w:trHeight w:val="264"/>
        </w:trPr>
        <w:tc>
          <w:tcPr>
            <w:tcW w:w="2245" w:type="dxa"/>
            <w:noWrap/>
            <w:tcMar>
              <w:top w:w="58" w:type="dxa"/>
              <w:left w:w="58" w:type="dxa"/>
              <w:bottom w:w="58" w:type="dxa"/>
              <w:right w:w="58" w:type="dxa"/>
            </w:tcMar>
          </w:tcPr>
          <w:p w14:paraId="1884FEEB" w14:textId="0F463126" w:rsidR="00513C95" w:rsidRPr="009E28B0" w:rsidRDefault="00513C95" w:rsidP="00513C95">
            <w:pPr>
              <w:rPr>
                <w:rFonts w:ascii="Arial" w:eastAsia="Times New Roman" w:hAnsi="Arial" w:cs="Arial"/>
                <w:sz w:val="20"/>
                <w:szCs w:val="20"/>
              </w:rPr>
            </w:pPr>
            <w:r w:rsidRPr="00F26750">
              <w:t>D42</w:t>
            </w:r>
            <w:r w:rsidR="00BA1F52">
              <w:t>6</w:t>
            </w:r>
            <w:r w:rsidRPr="00F26750">
              <w:t>0</w:t>
            </w:r>
          </w:p>
        </w:tc>
        <w:tc>
          <w:tcPr>
            <w:tcW w:w="8640" w:type="dxa"/>
            <w:noWrap/>
            <w:tcMar>
              <w:top w:w="58" w:type="dxa"/>
              <w:left w:w="58" w:type="dxa"/>
              <w:bottom w:w="58" w:type="dxa"/>
              <w:right w:w="58" w:type="dxa"/>
            </w:tcMar>
          </w:tcPr>
          <w:p w14:paraId="41343ABD" w14:textId="59B0B509" w:rsidR="00513C95" w:rsidRPr="009E28B0" w:rsidRDefault="00BA1F52" w:rsidP="00BA1F52">
            <w:pPr>
              <w:rPr>
                <w:rFonts w:ascii="Arial" w:eastAsia="Times New Roman" w:hAnsi="Arial" w:cs="Arial"/>
                <w:sz w:val="20"/>
                <w:szCs w:val="20"/>
              </w:rPr>
            </w:pPr>
            <w:r>
              <w:t>osseous surgery (including elevation of a full thickness flap and closure) - four or more contiguous teeth or tooth bounded spaces per quadrant</w:t>
            </w:r>
          </w:p>
        </w:tc>
      </w:tr>
      <w:tr w:rsidR="00513C95" w:rsidRPr="009E28B0" w14:paraId="26268B91" w14:textId="77777777" w:rsidTr="00550591">
        <w:trPr>
          <w:trHeight w:val="264"/>
        </w:trPr>
        <w:tc>
          <w:tcPr>
            <w:tcW w:w="2245" w:type="dxa"/>
            <w:noWrap/>
            <w:tcMar>
              <w:top w:w="58" w:type="dxa"/>
              <w:left w:w="58" w:type="dxa"/>
              <w:bottom w:w="58" w:type="dxa"/>
              <w:right w:w="58" w:type="dxa"/>
            </w:tcMar>
          </w:tcPr>
          <w:p w14:paraId="1B14B5D3" w14:textId="0DB7072E" w:rsidR="00513C95" w:rsidRPr="009E28B0" w:rsidRDefault="00513C95" w:rsidP="00513C95">
            <w:pPr>
              <w:rPr>
                <w:rFonts w:ascii="Arial" w:eastAsia="Times New Roman" w:hAnsi="Arial" w:cs="Arial"/>
                <w:sz w:val="20"/>
                <w:szCs w:val="20"/>
              </w:rPr>
            </w:pPr>
            <w:r w:rsidRPr="00F26750">
              <w:t>D42</w:t>
            </w:r>
            <w:r w:rsidR="00BA1F52">
              <w:t>6</w:t>
            </w:r>
            <w:r w:rsidRPr="00F26750">
              <w:t>1</w:t>
            </w:r>
          </w:p>
        </w:tc>
        <w:tc>
          <w:tcPr>
            <w:tcW w:w="8640" w:type="dxa"/>
            <w:noWrap/>
            <w:tcMar>
              <w:top w:w="58" w:type="dxa"/>
              <w:left w:w="58" w:type="dxa"/>
              <w:bottom w:w="58" w:type="dxa"/>
              <w:right w:w="58" w:type="dxa"/>
            </w:tcMar>
          </w:tcPr>
          <w:p w14:paraId="0490129C" w14:textId="0EB24374" w:rsidR="00513C95" w:rsidRPr="009E28B0" w:rsidRDefault="00BA1F52" w:rsidP="00BA1F52">
            <w:pPr>
              <w:rPr>
                <w:rFonts w:ascii="Arial" w:eastAsia="Times New Roman" w:hAnsi="Arial" w:cs="Arial"/>
                <w:sz w:val="20"/>
                <w:szCs w:val="20"/>
              </w:rPr>
            </w:pPr>
            <w:r>
              <w:t>osseous surgery (including elevation of a full thickness flap and closure) - one to three contiguous teeth or tooth bounded spaces per quadrant</w:t>
            </w:r>
          </w:p>
        </w:tc>
      </w:tr>
    </w:tbl>
    <w:p w14:paraId="019FDD5B" w14:textId="77777777" w:rsidR="00583BFF" w:rsidRDefault="00583BFF" w:rsidP="00F23A8D">
      <w:pPr>
        <w:rPr>
          <w:rFonts w:cstheme="minorHAnsi"/>
          <w:sz w:val="20"/>
          <w:szCs w:val="20"/>
        </w:rPr>
      </w:pPr>
    </w:p>
    <w:p w14:paraId="10BA9B95" w14:textId="4B2FBE2F" w:rsidR="00583BFF" w:rsidRPr="00583BFF" w:rsidRDefault="00583BFF" w:rsidP="00F23A8D">
      <w:pPr>
        <w:rPr>
          <w:rFonts w:cstheme="minorHAnsi"/>
        </w:rPr>
      </w:pPr>
      <w:r w:rsidRPr="00583BFF">
        <w:rPr>
          <w:rFonts w:cstheme="minorHAnsi"/>
        </w:rPr>
        <w:t>CDT® is a registered trademark of the American Dental Association. The Association is the exclusive copyright owner of CDT, the Code on Dental Procedures and Nomenclature and the ADA Dental Claim Form.</w:t>
      </w:r>
    </w:p>
    <w:p w14:paraId="73F0A1B2" w14:textId="77777777" w:rsidR="00583BFF" w:rsidRPr="00A577DF" w:rsidRDefault="00583BFF" w:rsidP="00F23A8D">
      <w:pPr>
        <w:rPr>
          <w:rFonts w:cstheme="minorHAnsi"/>
        </w:rPr>
      </w:pPr>
    </w:p>
    <w:p w14:paraId="148177AC" w14:textId="03351062" w:rsidR="004521C7" w:rsidRPr="004B7131" w:rsidRDefault="004521C7" w:rsidP="00F23A8D">
      <w:pPr>
        <w:rPr>
          <w:rFonts w:cstheme="minorHAnsi"/>
          <w:b/>
          <w:sz w:val="24"/>
          <w:szCs w:val="24"/>
        </w:rPr>
      </w:pPr>
      <w:r w:rsidRPr="004B7131">
        <w:rPr>
          <w:rFonts w:cstheme="minorHAnsi"/>
          <w:b/>
          <w:sz w:val="24"/>
          <w:szCs w:val="24"/>
        </w:rPr>
        <w:t>Clinical Criteria</w:t>
      </w:r>
      <w:r w:rsidR="00F23A8D">
        <w:rPr>
          <w:rStyle w:val="FootnoteReference"/>
          <w:rFonts w:cstheme="minorHAnsi"/>
          <w:b/>
          <w:sz w:val="24"/>
          <w:szCs w:val="24"/>
        </w:rPr>
        <w:footnoteReference w:id="1"/>
      </w:r>
    </w:p>
    <w:p w14:paraId="45D8CB5D" w14:textId="77777777" w:rsidR="004521C7" w:rsidRDefault="004521C7" w:rsidP="00F23A8D">
      <w:pPr>
        <w:rPr>
          <w:rFonts w:cstheme="minorHAnsi"/>
        </w:rPr>
      </w:pPr>
    </w:p>
    <w:p w14:paraId="203B8E3E" w14:textId="61F6FD8D" w:rsidR="0062490A" w:rsidRDefault="00BA1F52" w:rsidP="00CB1DCE">
      <w:pPr>
        <w:autoSpaceDE w:val="0"/>
        <w:autoSpaceDN w:val="0"/>
        <w:adjustRightInd w:val="0"/>
        <w:spacing w:after="120"/>
        <w:rPr>
          <w:rFonts w:cstheme="minorHAnsi"/>
          <w:color w:val="000000"/>
        </w:rPr>
      </w:pPr>
      <w:r w:rsidRPr="00BA1F52">
        <w:rPr>
          <w:rFonts w:cstheme="minorHAnsi"/>
          <w:color w:val="000000"/>
        </w:rPr>
        <w:t>When approval of benefit payment for osseous surgery by a member’s dental plan requires a determination by Delta Dental that the procedure is medically necessary and clinically appropriate, the patient's dental record must document a generally accepted indication for performing the procedure. The following conditions are generally considered to be indications for performing osseous surgery:</w:t>
      </w:r>
    </w:p>
    <w:p w14:paraId="562B4F39" w14:textId="5EC0722D" w:rsidR="00CB1DCE" w:rsidRPr="00CB1DCE" w:rsidRDefault="00543F5D" w:rsidP="00CB1DCE">
      <w:pPr>
        <w:pStyle w:val="ListParagraph"/>
        <w:numPr>
          <w:ilvl w:val="0"/>
          <w:numId w:val="13"/>
        </w:numPr>
        <w:autoSpaceDE w:val="0"/>
        <w:autoSpaceDN w:val="0"/>
        <w:adjustRightInd w:val="0"/>
        <w:spacing w:after="120"/>
        <w:ind w:left="450"/>
        <w:contextualSpacing w:val="0"/>
        <w:rPr>
          <w:rFonts w:cstheme="minorHAnsi"/>
        </w:rPr>
      </w:pPr>
      <w:r>
        <w:rPr>
          <w:rFonts w:cstheme="minorHAnsi"/>
        </w:rPr>
        <w:t>W</w:t>
      </w:r>
      <w:r w:rsidR="00CB1DCE" w:rsidRPr="00CB1DCE">
        <w:rPr>
          <w:rFonts w:cstheme="minorHAnsi"/>
        </w:rPr>
        <w:t>here non-surgical therapy or non-osseous flap surgery has failed to control periodontal disease</w:t>
      </w:r>
      <w:r w:rsidR="00A655F5" w:rsidRPr="00A655F5">
        <w:rPr>
          <w:rFonts w:cstheme="minorHAnsi"/>
        </w:rPr>
        <w:t>, including those with generalized infrabony pocketing, furcation involvement, or clinical loss of attachment</w:t>
      </w:r>
    </w:p>
    <w:p w14:paraId="568B28B4" w14:textId="28D12F34" w:rsidR="00CB1DCE" w:rsidRPr="00CB1DCE" w:rsidRDefault="00543F5D" w:rsidP="00CB1DCE">
      <w:pPr>
        <w:pStyle w:val="ListParagraph"/>
        <w:numPr>
          <w:ilvl w:val="0"/>
          <w:numId w:val="13"/>
        </w:numPr>
        <w:autoSpaceDE w:val="0"/>
        <w:autoSpaceDN w:val="0"/>
        <w:adjustRightInd w:val="0"/>
        <w:spacing w:after="120"/>
        <w:ind w:left="450"/>
        <w:contextualSpacing w:val="0"/>
        <w:rPr>
          <w:rFonts w:cstheme="minorHAnsi"/>
        </w:rPr>
      </w:pPr>
      <w:r>
        <w:rPr>
          <w:rFonts w:cstheme="minorHAnsi"/>
        </w:rPr>
        <w:t>W</w:t>
      </w:r>
      <w:r w:rsidR="00CB1DCE" w:rsidRPr="00CB1DCE">
        <w:rPr>
          <w:rFonts w:cstheme="minorHAnsi"/>
        </w:rPr>
        <w:t>here osseous resection surgery can be expected to create physiologic bone contours resulting in the</w:t>
      </w:r>
      <w:r w:rsidR="00920FCF">
        <w:rPr>
          <w:rFonts w:cstheme="minorHAnsi"/>
        </w:rPr>
        <w:t xml:space="preserve"> reduction or</w:t>
      </w:r>
      <w:r w:rsidR="00CB1DCE" w:rsidRPr="00CB1DCE">
        <w:rPr>
          <w:rFonts w:cstheme="minorHAnsi"/>
        </w:rPr>
        <w:t xml:space="preserve"> elimination of periodontal pockets and formation of minimal sulcus depth conducive to effective oral hygiene and periodontal maintenance </w:t>
      </w:r>
    </w:p>
    <w:p w14:paraId="58367A90" w14:textId="79C323A7" w:rsidR="002454EE" w:rsidRPr="00CB1DCE" w:rsidRDefault="00CB1DCE" w:rsidP="00CB1DCE">
      <w:pPr>
        <w:pStyle w:val="ListParagraph"/>
        <w:numPr>
          <w:ilvl w:val="0"/>
          <w:numId w:val="13"/>
        </w:numPr>
        <w:autoSpaceDE w:val="0"/>
        <w:autoSpaceDN w:val="0"/>
        <w:adjustRightInd w:val="0"/>
        <w:ind w:left="450"/>
        <w:rPr>
          <w:rFonts w:cstheme="minorHAnsi"/>
        </w:rPr>
      </w:pPr>
      <w:r w:rsidRPr="00CB1DCE">
        <w:rPr>
          <w:rFonts w:cstheme="minorHAnsi"/>
        </w:rPr>
        <w:t>Conditions generally suitable for osseous resective surgery include early to moderate bone loss presenting with one-</w:t>
      </w:r>
      <w:r w:rsidR="00920FCF">
        <w:rPr>
          <w:rFonts w:cstheme="minorHAnsi"/>
        </w:rPr>
        <w:t>, two-</w:t>
      </w:r>
      <w:r w:rsidRPr="00CB1DCE">
        <w:rPr>
          <w:rFonts w:cstheme="minorHAnsi"/>
        </w:rPr>
        <w:t xml:space="preserve"> or </w:t>
      </w:r>
      <w:r w:rsidR="00920FCF">
        <w:rPr>
          <w:rFonts w:cstheme="minorHAnsi"/>
        </w:rPr>
        <w:t>three</w:t>
      </w:r>
      <w:r w:rsidRPr="00CB1DCE">
        <w:rPr>
          <w:rFonts w:cstheme="minorHAnsi"/>
        </w:rPr>
        <w:t>-wall bony defects and/or incipient furcation involvement</w:t>
      </w:r>
    </w:p>
    <w:p w14:paraId="2CCBFA7D" w14:textId="77777777" w:rsidR="00CB1DCE" w:rsidRDefault="00CB1DCE" w:rsidP="00CB1DCE">
      <w:pPr>
        <w:autoSpaceDE w:val="0"/>
        <w:autoSpaceDN w:val="0"/>
        <w:adjustRightInd w:val="0"/>
        <w:rPr>
          <w:rFonts w:cstheme="minorHAnsi"/>
          <w:color w:val="000000"/>
        </w:rPr>
      </w:pPr>
    </w:p>
    <w:p w14:paraId="4CE7174C" w14:textId="5A2B201A" w:rsidR="007647FC" w:rsidRPr="007647FC" w:rsidRDefault="00BA1F52" w:rsidP="007647FC">
      <w:pPr>
        <w:autoSpaceDE w:val="0"/>
        <w:autoSpaceDN w:val="0"/>
        <w:adjustRightInd w:val="0"/>
        <w:rPr>
          <w:rFonts w:cstheme="minorHAnsi"/>
          <w:color w:val="000000"/>
        </w:rPr>
      </w:pPr>
      <w:r w:rsidRPr="00BA1F52">
        <w:rPr>
          <w:rFonts w:cstheme="minorHAnsi"/>
          <w:color w:val="000000"/>
        </w:rPr>
        <w:t xml:space="preserve">For patients who do not meet the published qualifying criteria for osseous surgery, Delta Dental will consider documentation from relevant clinicians that explains the necessity of covering osseous surgery for conditions not included in the criteria.  </w:t>
      </w:r>
      <w:r w:rsidR="004F56F4" w:rsidRPr="004F56F4">
        <w:rPr>
          <w:rFonts w:cstheme="minorHAnsi"/>
          <w:color w:val="000000"/>
        </w:rPr>
        <w:t xml:space="preserve"> </w:t>
      </w:r>
      <w:r w:rsidR="007647FC">
        <w:rPr>
          <w:rFonts w:cstheme="minorHAnsi"/>
          <w:color w:val="000000"/>
        </w:rPr>
        <w:t xml:space="preserve"> </w:t>
      </w:r>
    </w:p>
    <w:p w14:paraId="4C34BF8A" w14:textId="77777777" w:rsidR="000C032A" w:rsidRDefault="000C032A" w:rsidP="006F2F82">
      <w:pPr>
        <w:autoSpaceDE w:val="0"/>
        <w:autoSpaceDN w:val="0"/>
        <w:adjustRightInd w:val="0"/>
        <w:rPr>
          <w:rFonts w:cstheme="minorHAnsi"/>
          <w:color w:val="000000"/>
        </w:rPr>
      </w:pPr>
    </w:p>
    <w:p w14:paraId="181AA52C" w14:textId="289D151D" w:rsidR="002A1B5E" w:rsidRDefault="00BA1F52" w:rsidP="00CB1DCE">
      <w:pPr>
        <w:spacing w:after="120"/>
        <w:rPr>
          <w:rFonts w:cstheme="minorHAnsi"/>
        </w:rPr>
      </w:pPr>
      <w:r w:rsidRPr="00BA1F52">
        <w:rPr>
          <w:rFonts w:cstheme="minorHAnsi"/>
        </w:rPr>
        <w:t>Depending on the clinical circumstances, the performance of osseous surgery under the following conditions may be considered not medically necessary, inadvisable or deficient in clinical quality and may result in disapproval of benefits based on a professional determination that treatment is not medically necessary or not clinically appropriate:</w:t>
      </w:r>
    </w:p>
    <w:p w14:paraId="186EDB5D" w14:textId="3CE7039D" w:rsidR="00A438FC" w:rsidRDefault="00A438FC" w:rsidP="00CB1DCE">
      <w:pPr>
        <w:pStyle w:val="ListParagraph"/>
        <w:numPr>
          <w:ilvl w:val="0"/>
          <w:numId w:val="2"/>
        </w:numPr>
        <w:spacing w:after="120"/>
        <w:contextualSpacing w:val="0"/>
        <w:rPr>
          <w:rFonts w:cstheme="minorHAnsi"/>
        </w:rPr>
      </w:pPr>
      <w:r>
        <w:rPr>
          <w:rFonts w:cstheme="minorHAnsi"/>
        </w:rPr>
        <w:t xml:space="preserve">Absence of </w:t>
      </w:r>
      <w:r w:rsidRPr="00A438FC">
        <w:rPr>
          <w:rFonts w:cstheme="minorHAnsi"/>
        </w:rPr>
        <w:t>loss of supporting alveolar bone around the teeth</w:t>
      </w:r>
    </w:p>
    <w:p w14:paraId="467DB6DB" w14:textId="0D5B38CE" w:rsidR="00CB1DCE" w:rsidRPr="00CB1DCE" w:rsidRDefault="00A438FC" w:rsidP="00CB1DCE">
      <w:pPr>
        <w:pStyle w:val="ListParagraph"/>
        <w:numPr>
          <w:ilvl w:val="0"/>
          <w:numId w:val="2"/>
        </w:numPr>
        <w:spacing w:after="120"/>
        <w:contextualSpacing w:val="0"/>
        <w:rPr>
          <w:rFonts w:cstheme="minorHAnsi"/>
        </w:rPr>
      </w:pPr>
      <w:r>
        <w:rPr>
          <w:rFonts w:cstheme="minorHAnsi"/>
        </w:rPr>
        <w:t>Conditions</w:t>
      </w:r>
      <w:r w:rsidR="00CB1DCE" w:rsidRPr="00CB1DCE">
        <w:rPr>
          <w:rFonts w:cstheme="minorHAnsi"/>
        </w:rPr>
        <w:t xml:space="preserve"> appropriately managed with closed non-surgical </w:t>
      </w:r>
      <w:r>
        <w:rPr>
          <w:rFonts w:cstheme="minorHAnsi"/>
        </w:rPr>
        <w:t xml:space="preserve">treatment </w:t>
      </w:r>
      <w:r w:rsidR="00CB1DCE" w:rsidRPr="00CB1DCE">
        <w:rPr>
          <w:rFonts w:cstheme="minorHAnsi"/>
        </w:rPr>
        <w:t xml:space="preserve">or </w:t>
      </w:r>
      <w:r>
        <w:rPr>
          <w:rFonts w:cstheme="minorHAnsi"/>
        </w:rPr>
        <w:t xml:space="preserve">surgical </w:t>
      </w:r>
      <w:r w:rsidR="00CB1DCE" w:rsidRPr="00CB1DCE">
        <w:rPr>
          <w:rFonts w:cstheme="minorHAnsi"/>
        </w:rPr>
        <w:t xml:space="preserve">regenerative </w:t>
      </w:r>
      <w:r>
        <w:rPr>
          <w:rFonts w:cstheme="minorHAnsi"/>
        </w:rPr>
        <w:t>therapy</w:t>
      </w:r>
    </w:p>
    <w:p w14:paraId="5FDCB730" w14:textId="77777777" w:rsidR="00CB1DCE" w:rsidRPr="00CB1DCE" w:rsidRDefault="00CB1DCE" w:rsidP="00CB1DCE">
      <w:pPr>
        <w:pStyle w:val="ListParagraph"/>
        <w:numPr>
          <w:ilvl w:val="0"/>
          <w:numId w:val="2"/>
        </w:numPr>
        <w:spacing w:after="120"/>
        <w:contextualSpacing w:val="0"/>
        <w:rPr>
          <w:rFonts w:cstheme="minorHAnsi"/>
        </w:rPr>
      </w:pPr>
      <w:r w:rsidRPr="00CB1DCE">
        <w:rPr>
          <w:rFonts w:cstheme="minorHAnsi"/>
        </w:rPr>
        <w:t>Conditions where resective osseous surgery will unacceptably compromise esthetics or increase tooth mobility</w:t>
      </w:r>
    </w:p>
    <w:p w14:paraId="316C9F27" w14:textId="77777777" w:rsidR="00CB1DCE" w:rsidRDefault="00CB1DCE" w:rsidP="00CB1DCE">
      <w:pPr>
        <w:pStyle w:val="ListParagraph"/>
        <w:numPr>
          <w:ilvl w:val="0"/>
          <w:numId w:val="2"/>
        </w:numPr>
        <w:spacing w:after="120"/>
        <w:contextualSpacing w:val="0"/>
        <w:rPr>
          <w:rFonts w:cstheme="minorHAnsi"/>
        </w:rPr>
      </w:pPr>
      <w:r w:rsidRPr="00CB1DCE">
        <w:rPr>
          <w:rFonts w:cstheme="minorHAnsi"/>
        </w:rPr>
        <w:t>Osseous surgery performed on a tooth that has a hopeless periodontal, endodontic or structural prognosis</w:t>
      </w:r>
    </w:p>
    <w:p w14:paraId="69373520" w14:textId="1A26813A" w:rsidR="00A438FC" w:rsidRPr="00CB1DCE" w:rsidRDefault="00A438FC" w:rsidP="00CB1DCE">
      <w:pPr>
        <w:pStyle w:val="ListParagraph"/>
        <w:numPr>
          <w:ilvl w:val="0"/>
          <w:numId w:val="2"/>
        </w:numPr>
        <w:spacing w:after="120"/>
        <w:contextualSpacing w:val="0"/>
        <w:rPr>
          <w:rFonts w:cstheme="minorHAnsi"/>
        </w:rPr>
      </w:pPr>
      <w:r>
        <w:rPr>
          <w:rFonts w:cstheme="minorHAnsi"/>
        </w:rPr>
        <w:t>Osseous surgery repeated in the absence of periodontal disease progression</w:t>
      </w:r>
    </w:p>
    <w:p w14:paraId="2F227888" w14:textId="63074F94" w:rsidR="00CB1DCE" w:rsidRPr="00CB1DCE" w:rsidRDefault="00BA55EF" w:rsidP="00CB1DCE">
      <w:pPr>
        <w:pStyle w:val="ListParagraph"/>
        <w:numPr>
          <w:ilvl w:val="0"/>
          <w:numId w:val="2"/>
        </w:numPr>
        <w:spacing w:after="120"/>
        <w:contextualSpacing w:val="0"/>
        <w:rPr>
          <w:rFonts w:cstheme="minorHAnsi"/>
        </w:rPr>
      </w:pPr>
      <w:r w:rsidRPr="00BA55EF">
        <w:rPr>
          <w:rFonts w:cstheme="minorHAnsi"/>
        </w:rPr>
        <w:t>Patient non-compliance with oral hygiene procedures and supportive care</w:t>
      </w:r>
    </w:p>
    <w:p w14:paraId="46B5A13B" w14:textId="29CB198C" w:rsidR="002454EE" w:rsidRPr="004109A4" w:rsidRDefault="00CB1DCE" w:rsidP="002454EE">
      <w:pPr>
        <w:pStyle w:val="ListParagraph"/>
        <w:numPr>
          <w:ilvl w:val="0"/>
          <w:numId w:val="2"/>
        </w:numPr>
        <w:spacing w:after="120"/>
        <w:contextualSpacing w:val="0"/>
        <w:rPr>
          <w:rFonts w:cstheme="minorHAnsi"/>
        </w:rPr>
      </w:pPr>
      <w:r w:rsidRPr="00CB1DCE">
        <w:rPr>
          <w:rFonts w:cstheme="minorHAnsi"/>
        </w:rPr>
        <w:t>Patients with medical conditions and/or treatment history where periodontal surgery is inadvisable</w:t>
      </w:r>
      <w:r w:rsidR="00A655F5" w:rsidRPr="00A655F5">
        <w:rPr>
          <w:rFonts w:cstheme="minorHAnsi"/>
        </w:rPr>
        <w:t>, including, but not limited to, a history of bisphosphonate treatment or chemotherapeutic or radiation therapy of the head and neck</w:t>
      </w:r>
    </w:p>
    <w:p w14:paraId="7A4EE326" w14:textId="1CC0AAFA" w:rsidR="002A1B5E" w:rsidRDefault="00BA1F52" w:rsidP="00CB1DCE">
      <w:pPr>
        <w:spacing w:after="120"/>
        <w:rPr>
          <w:rFonts w:cstheme="minorHAnsi"/>
        </w:rPr>
      </w:pPr>
      <w:r w:rsidRPr="00BA1F52">
        <w:rPr>
          <w:rFonts w:cstheme="minorHAnsi"/>
        </w:rPr>
        <w:t>Depending on an individual patient’s condition and circumstances, the following additional criteria for osseous surgery may be applied for coverage determinations:</w:t>
      </w:r>
    </w:p>
    <w:p w14:paraId="47BF11DA" w14:textId="77777777" w:rsidR="00CB1DCE" w:rsidRPr="00CB1DCE" w:rsidRDefault="00CB1DCE" w:rsidP="00CB1DCE">
      <w:pPr>
        <w:pStyle w:val="ListParagraph"/>
        <w:numPr>
          <w:ilvl w:val="0"/>
          <w:numId w:val="7"/>
        </w:numPr>
        <w:spacing w:after="120"/>
        <w:contextualSpacing w:val="0"/>
        <w:rPr>
          <w:rFonts w:cstheme="minorHAnsi"/>
        </w:rPr>
      </w:pPr>
      <w:r w:rsidRPr="00CB1DCE">
        <w:rPr>
          <w:rFonts w:cstheme="minorHAnsi"/>
        </w:rPr>
        <w:t>Unless otherwise established by a dental benefit program, osseous surgery is eligible for benefit coverage for the treatment of natural teeth only.</w:t>
      </w:r>
    </w:p>
    <w:p w14:paraId="081CACA5" w14:textId="02EEE701" w:rsidR="00CB1DCE" w:rsidRDefault="00CB1DCE" w:rsidP="00CB1DCE">
      <w:pPr>
        <w:pStyle w:val="ListParagraph"/>
        <w:numPr>
          <w:ilvl w:val="0"/>
          <w:numId w:val="7"/>
        </w:numPr>
        <w:spacing w:after="120"/>
        <w:contextualSpacing w:val="0"/>
        <w:rPr>
          <w:rFonts w:cstheme="minorHAnsi"/>
        </w:rPr>
      </w:pPr>
      <w:r w:rsidRPr="00CB1DCE">
        <w:rPr>
          <w:rFonts w:cstheme="minorHAnsi"/>
        </w:rPr>
        <w:t>Periodontally involved teeth generally qualify for osseous surgery benefit coverage when documented to have at least 5 millimeter periodontal pocket depths</w:t>
      </w:r>
      <w:r w:rsidR="00115636" w:rsidRPr="00115636">
        <w:rPr>
          <w:rFonts w:cstheme="minorHAnsi"/>
        </w:rPr>
        <w:t>, furcation involvement</w:t>
      </w:r>
      <w:r w:rsidRPr="00CB1DCE">
        <w:rPr>
          <w:rFonts w:cstheme="minorHAnsi"/>
        </w:rPr>
        <w:t xml:space="preserve"> and radiographic evidence of bone deformity.</w:t>
      </w:r>
    </w:p>
    <w:p w14:paraId="2FC27543" w14:textId="7EE20039" w:rsidR="0057371C" w:rsidRPr="00CB1DCE" w:rsidRDefault="0057371C" w:rsidP="00CB1DCE">
      <w:pPr>
        <w:pStyle w:val="ListParagraph"/>
        <w:numPr>
          <w:ilvl w:val="0"/>
          <w:numId w:val="7"/>
        </w:numPr>
        <w:spacing w:after="120"/>
        <w:contextualSpacing w:val="0"/>
        <w:rPr>
          <w:rFonts w:cstheme="minorHAnsi"/>
        </w:rPr>
      </w:pPr>
      <w:r w:rsidRPr="0057371C">
        <w:rPr>
          <w:rFonts w:cstheme="minorHAnsi"/>
        </w:rPr>
        <w:t>Periodontal procedures submitted by quadrant must have at least 4 teeth eligible for treatment.</w:t>
      </w:r>
    </w:p>
    <w:p w14:paraId="54F6A31C" w14:textId="4F17DE41" w:rsidR="00FD198E" w:rsidRPr="00FD198E" w:rsidRDefault="00CB1DCE" w:rsidP="00CB1DCE">
      <w:pPr>
        <w:pStyle w:val="ListParagraph"/>
        <w:numPr>
          <w:ilvl w:val="0"/>
          <w:numId w:val="7"/>
        </w:numPr>
        <w:contextualSpacing w:val="0"/>
        <w:rPr>
          <w:rFonts w:cstheme="minorHAnsi"/>
        </w:rPr>
      </w:pPr>
      <w:r w:rsidRPr="00CB1DCE">
        <w:rPr>
          <w:rFonts w:cstheme="minorHAnsi"/>
        </w:rPr>
        <w:t>When dental benefit programs have established program-specific criteria that define when osseous surgery is considered medically necessary and eligible for benefit coverage or that place other limitations on osseous surgery coverage, Delta Dental will apply that criteria when there is a need to evaluate osseous surgery for medical necessity.</w:t>
      </w:r>
    </w:p>
    <w:p w14:paraId="62485D9F" w14:textId="77777777" w:rsidR="000E64D4" w:rsidRPr="000E64D4" w:rsidRDefault="000E64D4" w:rsidP="00F23A8D">
      <w:pPr>
        <w:rPr>
          <w:rFonts w:cstheme="minorHAnsi"/>
        </w:rPr>
      </w:pPr>
    </w:p>
    <w:p w14:paraId="7456B377" w14:textId="250F9809" w:rsidR="00772C01" w:rsidRPr="00BC15B9" w:rsidRDefault="00772C01" w:rsidP="00F23A8D">
      <w:pPr>
        <w:rPr>
          <w:rFonts w:cstheme="minorHAnsi"/>
          <w:b/>
          <w:bCs/>
        </w:rPr>
      </w:pPr>
      <w:r w:rsidRPr="00BC15B9">
        <w:rPr>
          <w:rFonts w:cstheme="minorHAnsi"/>
          <w:b/>
          <w:bCs/>
        </w:rPr>
        <w:t>Other Considerations</w:t>
      </w:r>
    </w:p>
    <w:p w14:paraId="3D2FDE62" w14:textId="77777777" w:rsidR="00772C01" w:rsidRPr="00A577DF" w:rsidRDefault="00772C01" w:rsidP="00F23A8D">
      <w:pPr>
        <w:rPr>
          <w:rFonts w:cstheme="minorHAnsi"/>
        </w:rPr>
      </w:pPr>
    </w:p>
    <w:p w14:paraId="70731CB5" w14:textId="7BAE8291" w:rsidR="00772C01" w:rsidRDefault="00772C01" w:rsidP="0057714E">
      <w:pPr>
        <w:spacing w:after="100"/>
        <w:rPr>
          <w:rFonts w:cstheme="minorHAnsi"/>
        </w:rPr>
      </w:pPr>
      <w:r w:rsidRPr="00BC15B9">
        <w:rPr>
          <w:rFonts w:cstheme="minorHAnsi"/>
        </w:rPr>
        <w:t xml:space="preserve">When the payment of benefits for a dental procedure by a member's dental plan </w:t>
      </w:r>
      <w:r>
        <w:rPr>
          <w:rFonts w:cstheme="minorHAnsi"/>
        </w:rPr>
        <w:t>depends on</w:t>
      </w:r>
      <w:r w:rsidRPr="00BC15B9">
        <w:rPr>
          <w:rFonts w:cstheme="minorHAnsi"/>
        </w:rPr>
        <w:t xml:space="preserve"> the application of clinical criteria to determine whether the procedure is medically necessary or clinically appropriate,</w:t>
      </w:r>
      <w:r>
        <w:rPr>
          <w:rFonts w:cstheme="minorHAnsi"/>
        </w:rPr>
        <w:t xml:space="preserve"> </w:t>
      </w:r>
      <w:r w:rsidR="00514827" w:rsidRPr="00514827">
        <w:rPr>
          <w:rFonts w:cstheme="minorHAnsi"/>
        </w:rPr>
        <w:t>the following additional information will be taken into consideration, if applicable</w:t>
      </w:r>
      <w:r>
        <w:rPr>
          <w:rFonts w:cstheme="minorHAnsi"/>
        </w:rPr>
        <w:t>:</w:t>
      </w:r>
    </w:p>
    <w:p w14:paraId="0B21340F" w14:textId="77777777" w:rsidR="00772C01" w:rsidRPr="00257FCC" w:rsidRDefault="00772C01">
      <w:pPr>
        <w:pStyle w:val="ListParagraph"/>
        <w:numPr>
          <w:ilvl w:val="0"/>
          <w:numId w:val="1"/>
        </w:numPr>
        <w:spacing w:after="100"/>
        <w:contextualSpacing w:val="0"/>
        <w:rPr>
          <w:rFonts w:cstheme="minorHAnsi"/>
        </w:rPr>
      </w:pPr>
      <w:r w:rsidRPr="00257FCC">
        <w:rPr>
          <w:rFonts w:cstheme="minorHAnsi"/>
        </w:rPr>
        <w:t>Individual patient characteristics including age, comorbidities, complications, progress of treatment, psychosocial situation and home environment</w:t>
      </w:r>
    </w:p>
    <w:p w14:paraId="13D6D0EF" w14:textId="77777777" w:rsidR="00772C01" w:rsidRPr="00257FCC" w:rsidRDefault="00772C01">
      <w:pPr>
        <w:pStyle w:val="ListParagraph"/>
        <w:numPr>
          <w:ilvl w:val="0"/>
          <w:numId w:val="1"/>
        </w:numPr>
        <w:rPr>
          <w:rFonts w:cstheme="minorHAnsi"/>
        </w:rPr>
      </w:pPr>
      <w:r w:rsidRPr="00257FCC">
        <w:rPr>
          <w:rFonts w:cstheme="minorHAnsi"/>
        </w:rPr>
        <w:t>Available services in the local dental delivery system and their ability to meet the member’s specific dental care needs when clinical criteria are applied</w:t>
      </w:r>
    </w:p>
    <w:p w14:paraId="331A1E1E" w14:textId="77777777" w:rsidR="00772C01" w:rsidRPr="00A577DF" w:rsidRDefault="00772C01" w:rsidP="00F23A8D">
      <w:pPr>
        <w:rPr>
          <w:rFonts w:cstheme="minorHAnsi"/>
        </w:rPr>
      </w:pPr>
    </w:p>
    <w:p w14:paraId="317BD897" w14:textId="1F60A137" w:rsidR="0085196E" w:rsidRPr="004B7131" w:rsidRDefault="0085196E" w:rsidP="00F23A8D">
      <w:pPr>
        <w:rPr>
          <w:rFonts w:cstheme="minorHAnsi"/>
          <w:b/>
          <w:sz w:val="24"/>
          <w:szCs w:val="24"/>
        </w:rPr>
      </w:pPr>
      <w:r w:rsidRPr="004B7131">
        <w:rPr>
          <w:rFonts w:cstheme="minorHAnsi"/>
          <w:b/>
          <w:sz w:val="24"/>
          <w:szCs w:val="24"/>
        </w:rPr>
        <w:t>Required Documentation</w:t>
      </w:r>
    </w:p>
    <w:p w14:paraId="278E79DF" w14:textId="0AE847D2" w:rsidR="0085196E" w:rsidRPr="00A577DF" w:rsidRDefault="0085196E" w:rsidP="00F23A8D">
      <w:pPr>
        <w:rPr>
          <w:rFonts w:cstheme="minorHAnsi"/>
          <w:bCs/>
        </w:rPr>
      </w:pPr>
    </w:p>
    <w:p w14:paraId="7507B1E7" w14:textId="10BEA211" w:rsidR="00F973BF" w:rsidRDefault="00BA1F52" w:rsidP="00192024">
      <w:pPr>
        <w:spacing w:after="120"/>
        <w:rPr>
          <w:rFonts w:cstheme="minorHAnsi"/>
          <w:bCs/>
        </w:rPr>
      </w:pPr>
      <w:r w:rsidRPr="00BA1F52">
        <w:rPr>
          <w:rFonts w:cstheme="minorHAnsi"/>
          <w:bCs/>
        </w:rPr>
        <w:t>The decision to perform osseous surgery on a patient should be based on a thorough clinical and radiographic examination that facilitates the formulation of an appropriate treatment plan. When the payment of benefits for osseous surgery by a member’s dental plan depends on a review of the procedure’s medical necessity and clinical appropriateness, the treating practitioner should submit with the claim the following information as applicable from the patient’s dental record. If the practitioner is unable to provide this information, benefit payment may be disapproved.</w:t>
      </w:r>
    </w:p>
    <w:p w14:paraId="339193ED" w14:textId="77777777" w:rsidR="00A655F5" w:rsidRPr="00A655F5" w:rsidRDefault="00A655F5" w:rsidP="00A655F5">
      <w:pPr>
        <w:pStyle w:val="ListParagraph"/>
        <w:numPr>
          <w:ilvl w:val="0"/>
          <w:numId w:val="8"/>
        </w:numPr>
        <w:spacing w:after="120"/>
        <w:contextualSpacing w:val="0"/>
        <w:rPr>
          <w:rFonts w:cstheme="minorHAnsi"/>
          <w:bCs/>
        </w:rPr>
      </w:pPr>
      <w:r w:rsidRPr="00A655F5">
        <w:rPr>
          <w:rFonts w:cstheme="minorHAnsi"/>
          <w:bCs/>
        </w:rPr>
        <w:t>Preoperative diagnostic quality radiographs including bitewing images showing the teeth in the areas where osseous surgery is planned</w:t>
      </w:r>
    </w:p>
    <w:p w14:paraId="72E4B2E0" w14:textId="77777777" w:rsidR="00A655F5" w:rsidRPr="00A655F5" w:rsidRDefault="00A655F5" w:rsidP="00A655F5">
      <w:pPr>
        <w:pStyle w:val="ListParagraph"/>
        <w:numPr>
          <w:ilvl w:val="0"/>
          <w:numId w:val="8"/>
        </w:numPr>
        <w:spacing w:after="120"/>
        <w:contextualSpacing w:val="0"/>
        <w:rPr>
          <w:rFonts w:cstheme="minorHAnsi"/>
          <w:bCs/>
        </w:rPr>
      </w:pPr>
      <w:r w:rsidRPr="00A655F5">
        <w:rPr>
          <w:rFonts w:cstheme="minorHAnsi"/>
          <w:bCs/>
        </w:rPr>
        <w:t>Intraoral photographs of the involved areas when radiographs do not adequately demonstrate the need for the submitted services</w:t>
      </w:r>
    </w:p>
    <w:p w14:paraId="4AAF3C07" w14:textId="77777777" w:rsidR="00A655F5" w:rsidRPr="00A655F5" w:rsidRDefault="00A655F5" w:rsidP="00A655F5">
      <w:pPr>
        <w:pStyle w:val="ListParagraph"/>
        <w:numPr>
          <w:ilvl w:val="0"/>
          <w:numId w:val="8"/>
        </w:numPr>
        <w:spacing w:after="120"/>
        <w:contextualSpacing w:val="0"/>
        <w:rPr>
          <w:rFonts w:cstheme="minorHAnsi"/>
          <w:bCs/>
        </w:rPr>
      </w:pPr>
      <w:r w:rsidRPr="00A655F5">
        <w:rPr>
          <w:rFonts w:cstheme="minorHAnsi"/>
          <w:bCs/>
        </w:rPr>
        <w:t>Preoperative six-point periodontal pocket depth charting performed within 12 months of treatment that includes documentation of clinical attachment loss, tooth mobility, bleeding on probing and furcation involvement</w:t>
      </w:r>
    </w:p>
    <w:p w14:paraId="2D7FF090" w14:textId="3F9EADBD" w:rsidR="0072460F" w:rsidRDefault="00A655F5" w:rsidP="00A655F5">
      <w:pPr>
        <w:pStyle w:val="ListParagraph"/>
        <w:numPr>
          <w:ilvl w:val="0"/>
          <w:numId w:val="8"/>
        </w:numPr>
        <w:spacing w:after="120"/>
        <w:contextualSpacing w:val="0"/>
        <w:rPr>
          <w:rFonts w:cstheme="minorHAnsi"/>
          <w:bCs/>
        </w:rPr>
      </w:pPr>
      <w:r w:rsidRPr="00A655F5">
        <w:rPr>
          <w:rFonts w:cstheme="minorHAnsi"/>
          <w:bCs/>
        </w:rPr>
        <w:t>Documentation consistent with the patient record that explains the diagnostic rationale for performing osseous surgery, including any supporting information from the patient's dental and medical histories</w:t>
      </w:r>
    </w:p>
    <w:p w14:paraId="77D8B46E" w14:textId="33564520" w:rsidR="00FE2E2D" w:rsidRDefault="00FE2E2D" w:rsidP="00F23A8D">
      <w:pPr>
        <w:rPr>
          <w:rFonts w:cstheme="minorHAnsi"/>
          <w:bCs/>
        </w:rPr>
      </w:pPr>
      <w:r w:rsidRPr="00FE2E2D">
        <w:rPr>
          <w:rFonts w:cstheme="minorHAnsi"/>
          <w:bCs/>
        </w:rPr>
        <w:t>When determining coverage based on medical necessity or clinical appropriateness, Delta Dental may request other clinical information relevant to a patient’s care if needed to make coverage decisions.</w:t>
      </w:r>
    </w:p>
    <w:p w14:paraId="35437390" w14:textId="77777777" w:rsidR="00FE2E2D" w:rsidRPr="00A577DF" w:rsidRDefault="00FE2E2D" w:rsidP="00F23A8D">
      <w:pPr>
        <w:rPr>
          <w:rFonts w:cstheme="minorHAnsi"/>
          <w:bCs/>
        </w:rPr>
      </w:pPr>
    </w:p>
    <w:p w14:paraId="04F88475" w14:textId="54F2159D" w:rsidR="004521C7" w:rsidRPr="004B7131" w:rsidRDefault="00A7236F" w:rsidP="0073737B">
      <w:pPr>
        <w:rPr>
          <w:rFonts w:cstheme="minorHAnsi"/>
          <w:b/>
          <w:sz w:val="24"/>
          <w:szCs w:val="24"/>
        </w:rPr>
      </w:pPr>
      <w:r w:rsidRPr="004B7131">
        <w:rPr>
          <w:rFonts w:cstheme="minorHAnsi"/>
          <w:b/>
          <w:sz w:val="24"/>
          <w:szCs w:val="24"/>
        </w:rPr>
        <w:t>Additional</w:t>
      </w:r>
      <w:r w:rsidR="004521C7" w:rsidRPr="004B7131">
        <w:rPr>
          <w:rFonts w:cstheme="minorHAnsi"/>
          <w:b/>
          <w:sz w:val="24"/>
          <w:szCs w:val="24"/>
        </w:rPr>
        <w:t xml:space="preserve"> Information</w:t>
      </w:r>
    </w:p>
    <w:p w14:paraId="0F6561BB" w14:textId="77777777" w:rsidR="004521C7" w:rsidRPr="00A577DF" w:rsidRDefault="004521C7" w:rsidP="00F23A8D">
      <w:pPr>
        <w:rPr>
          <w:rFonts w:cstheme="minorHAnsi"/>
        </w:rPr>
      </w:pPr>
    </w:p>
    <w:p w14:paraId="65CAB565" w14:textId="7E1311E1" w:rsidR="00CE2E69" w:rsidRDefault="00732B7C" w:rsidP="00F23A8D">
      <w:pPr>
        <w:rPr>
          <w:rFonts w:cstheme="minorHAnsi"/>
        </w:rPr>
      </w:pPr>
      <w:r w:rsidRPr="00732B7C">
        <w:rPr>
          <w:rFonts w:cstheme="minorHAnsi"/>
        </w:rPr>
        <w:t>The provision of dental advice and clinical treatment of patients is the sole responsibility of treating dentists, and these clinical criteria are not intended to restrict dentist</w:t>
      </w:r>
      <w:r w:rsidR="00D71F87">
        <w:rPr>
          <w:rFonts w:cstheme="minorHAnsi"/>
        </w:rPr>
        <w:t>s</w:t>
      </w:r>
      <w:r w:rsidRPr="00732B7C">
        <w:rPr>
          <w:rFonts w:cstheme="minorHAnsi"/>
        </w:rPr>
        <w:t xml:space="preserve"> from carrying out that responsibility</w:t>
      </w:r>
      <w:r w:rsidR="00D71F87">
        <w:rPr>
          <w:rFonts w:cstheme="minorHAnsi"/>
        </w:rPr>
        <w:t xml:space="preserve"> or recommend treatment to their patients.</w:t>
      </w:r>
    </w:p>
    <w:p w14:paraId="2BF486E7" w14:textId="5EE8059C" w:rsidR="00732B7C" w:rsidRPr="00A577DF" w:rsidRDefault="00732B7C" w:rsidP="00F23A8D">
      <w:pPr>
        <w:rPr>
          <w:rFonts w:cstheme="minorHAnsi"/>
        </w:rPr>
      </w:pPr>
    </w:p>
    <w:p w14:paraId="30556143" w14:textId="28F896B1" w:rsidR="00D85ABC" w:rsidRDefault="00D71F87" w:rsidP="00F23A8D">
      <w:pPr>
        <w:rPr>
          <w:rFonts w:cstheme="minorHAnsi"/>
        </w:rPr>
      </w:pPr>
      <w:r w:rsidRPr="00D71F87">
        <w:rPr>
          <w:rFonts w:cstheme="minorHAnsi"/>
        </w:rPr>
        <w:t xml:space="preserve">Delta Dental's clinical criteria are developed and annually updated by a panel of licensed dental general practitioners and specialists serving on Delta Dental's Utilization Management </w:t>
      </w:r>
      <w:r w:rsidR="00DC2096">
        <w:rPr>
          <w:rFonts w:cstheme="minorHAnsi"/>
        </w:rPr>
        <w:t xml:space="preserve">(UM) </w:t>
      </w:r>
      <w:r w:rsidRPr="00D71F87">
        <w:rPr>
          <w:rFonts w:cstheme="minorHAnsi"/>
        </w:rPr>
        <w:t>Committee, including the Dental Director and Utilization Management Director. The criteria are developed in alignment with evidence-based clinical recommendations, guidelines and parameters of care of leading nationally recognized dental public health organizations, health research agencies and professional organizations, credible scientific evidence published in peer-reviewed medical and dental literature, the curriculum of accredited dental schools, the regulatory status of relevant dental technologies, the rules and requirements of the Centers for Medicare and Medicaid Services</w:t>
      </w:r>
      <w:r w:rsidR="00BD1CEC">
        <w:rPr>
          <w:rFonts w:cstheme="minorHAnsi"/>
        </w:rPr>
        <w:t>,</w:t>
      </w:r>
      <w:r w:rsidRPr="00D71F87">
        <w:rPr>
          <w:rFonts w:cstheme="minorHAnsi"/>
        </w:rPr>
        <w:t xml:space="preserve"> Delta Dental national processing policies</w:t>
      </w:r>
      <w:r w:rsidR="00BD1CEC">
        <w:rPr>
          <w:rFonts w:cstheme="minorHAnsi"/>
        </w:rPr>
        <w:t xml:space="preserve"> and input from practicing dentists</w:t>
      </w:r>
      <w:r w:rsidR="00B97335">
        <w:rPr>
          <w:rFonts w:cstheme="minorHAnsi"/>
        </w:rPr>
        <w:t>.</w:t>
      </w:r>
      <w:r w:rsidR="00DC2096">
        <w:rPr>
          <w:rFonts w:cstheme="minorHAnsi"/>
        </w:rPr>
        <w:t xml:space="preserve"> </w:t>
      </w:r>
      <w:bookmarkStart w:id="2" w:name="_Hlk160466896"/>
      <w:r w:rsidR="00DC2096">
        <w:rPr>
          <w:rFonts w:cstheme="minorHAnsi"/>
        </w:rPr>
        <w:t xml:space="preserve">New and revised clinical criteria must be approved by the </w:t>
      </w:r>
      <w:r w:rsidR="00D7151E">
        <w:rPr>
          <w:rFonts w:cstheme="minorHAnsi"/>
        </w:rPr>
        <w:t>Dental Director and adopted by the UM Committee</w:t>
      </w:r>
      <w:r w:rsidR="008E3F68">
        <w:rPr>
          <w:rFonts w:cstheme="minorHAnsi"/>
        </w:rPr>
        <w:t xml:space="preserve"> prior to release</w:t>
      </w:r>
      <w:r w:rsidR="00DC2096">
        <w:rPr>
          <w:rFonts w:cstheme="minorHAnsi"/>
        </w:rPr>
        <w:t>.</w:t>
      </w:r>
      <w:bookmarkEnd w:id="2"/>
    </w:p>
    <w:p w14:paraId="267D2369" w14:textId="29C435C2" w:rsidR="00B97335" w:rsidRPr="00A577DF" w:rsidRDefault="00B97335" w:rsidP="00F23A8D">
      <w:pPr>
        <w:rPr>
          <w:rFonts w:cstheme="minorHAnsi"/>
        </w:rPr>
      </w:pPr>
    </w:p>
    <w:p w14:paraId="5D4B3D23" w14:textId="56F463D4" w:rsidR="0057714E" w:rsidRDefault="00B97335" w:rsidP="00F23A8D">
      <w:pPr>
        <w:rPr>
          <w:rFonts w:cstheme="minorHAnsi"/>
        </w:rPr>
      </w:pPr>
      <w:r w:rsidRPr="00B97335">
        <w:rPr>
          <w:rFonts w:cstheme="minorHAnsi"/>
        </w:rPr>
        <w:t xml:space="preserve">Federal or state statutes or regulations, dental plan contract provisions, local or national claim processing </w:t>
      </w:r>
      <w:r w:rsidR="00D4136C" w:rsidRPr="00B97335">
        <w:rPr>
          <w:rFonts w:cstheme="minorHAnsi"/>
        </w:rPr>
        <w:t>policies</w:t>
      </w:r>
      <w:r w:rsidRPr="00B97335">
        <w:rPr>
          <w:rFonts w:cstheme="minorHAnsi"/>
        </w:rPr>
        <w:t xml:space="preserve"> or other </w:t>
      </w:r>
      <w:r>
        <w:rPr>
          <w:rFonts w:cstheme="minorHAnsi"/>
        </w:rPr>
        <w:t xml:space="preserve">mandated </w:t>
      </w:r>
      <w:r w:rsidRPr="00B97335">
        <w:rPr>
          <w:rFonts w:cstheme="minorHAnsi"/>
        </w:rPr>
        <w:t>requirements may take precedence over these clinical criteria.</w:t>
      </w:r>
    </w:p>
    <w:p w14:paraId="720717BC" w14:textId="77777777" w:rsidR="0057714E" w:rsidRPr="00A577DF" w:rsidRDefault="0057714E" w:rsidP="00F23A8D">
      <w:pPr>
        <w:rPr>
          <w:rFonts w:cstheme="minorHAnsi"/>
        </w:rPr>
      </w:pPr>
    </w:p>
    <w:p w14:paraId="3E392167" w14:textId="6B9564DC" w:rsidR="00732B7C" w:rsidRDefault="0045023E" w:rsidP="00F23A8D">
      <w:pPr>
        <w:rPr>
          <w:rFonts w:cstheme="minorHAnsi"/>
        </w:rPr>
      </w:pPr>
      <w:r w:rsidRPr="0045023E">
        <w:rPr>
          <w:rFonts w:cstheme="minorHAnsi"/>
        </w:rPr>
        <w:t>Delta Dental reserves the right to modify or replace this document at any time as appropriate to ensure the soundness, accuracy and objectivity of Delta Dental's clinical criteria.</w:t>
      </w:r>
    </w:p>
    <w:p w14:paraId="7CC2C62B" w14:textId="715A5DCB" w:rsidR="00FD198E" w:rsidRDefault="00FD198E">
      <w:pPr>
        <w:rPr>
          <w:rFonts w:cstheme="minorHAnsi"/>
          <w:b/>
          <w:sz w:val="24"/>
          <w:szCs w:val="24"/>
        </w:rPr>
      </w:pPr>
    </w:p>
    <w:p w14:paraId="003CADB6" w14:textId="7A4323D6" w:rsidR="00CE2E69" w:rsidRDefault="00CE2E69" w:rsidP="00AD3B2C">
      <w:pPr>
        <w:rPr>
          <w:rFonts w:cstheme="minorHAnsi"/>
          <w:b/>
          <w:sz w:val="24"/>
          <w:szCs w:val="24"/>
        </w:rPr>
      </w:pPr>
      <w:r w:rsidRPr="006B0F40">
        <w:rPr>
          <w:rFonts w:cstheme="minorHAnsi"/>
          <w:b/>
          <w:sz w:val="24"/>
          <w:szCs w:val="24"/>
        </w:rPr>
        <w:t>References</w:t>
      </w:r>
    </w:p>
    <w:p w14:paraId="14AA8793" w14:textId="77777777" w:rsidR="00AD3B2C" w:rsidRPr="00904C0A" w:rsidRDefault="00AD3B2C" w:rsidP="00AD3B2C">
      <w:pPr>
        <w:rPr>
          <w:rFonts w:cstheme="minorHAnsi"/>
          <w:b/>
          <w:sz w:val="24"/>
          <w:szCs w:val="24"/>
        </w:rPr>
      </w:pPr>
    </w:p>
    <w:p w14:paraId="3762ABE7" w14:textId="7A297825" w:rsidR="00CB1DCE" w:rsidRPr="00CB1DCE" w:rsidRDefault="00B04709" w:rsidP="00CB1DCE">
      <w:pPr>
        <w:spacing w:after="120"/>
        <w:rPr>
          <w:rFonts w:cstheme="minorHAnsi"/>
        </w:rPr>
      </w:pPr>
      <w:r w:rsidRPr="00B04709">
        <w:rPr>
          <w:rFonts w:cstheme="minorHAnsi"/>
        </w:rPr>
        <w:t>American Dental Association, CDT 2025: Current Dental Terminology. American Dental Association, Chicago, IL, 2024.</w:t>
      </w:r>
    </w:p>
    <w:p w14:paraId="5F699BC7" w14:textId="77777777" w:rsidR="00CB1DCE" w:rsidRPr="00CB1DCE" w:rsidRDefault="00CB1DCE" w:rsidP="00CB1DCE">
      <w:pPr>
        <w:spacing w:after="120"/>
        <w:rPr>
          <w:rFonts w:cstheme="minorHAnsi"/>
        </w:rPr>
      </w:pPr>
      <w:r w:rsidRPr="00CB1DCE">
        <w:rPr>
          <w:rFonts w:cstheme="minorHAnsi"/>
        </w:rPr>
        <w:t>Ferrarotti F, et al. Pocket elimination after osseous resective surgery: A systematic review and meta-analysis. J Clin Periodontol. 2020 Jun;47(6):756-767.</w:t>
      </w:r>
    </w:p>
    <w:p w14:paraId="7189F97B" w14:textId="77777777" w:rsidR="00CB1DCE" w:rsidRPr="00CB1DCE" w:rsidRDefault="00CB1DCE" w:rsidP="00CB1DCE">
      <w:pPr>
        <w:spacing w:after="120"/>
        <w:rPr>
          <w:rFonts w:cstheme="minorHAnsi"/>
        </w:rPr>
      </w:pPr>
      <w:r w:rsidRPr="00CB1DCE">
        <w:rPr>
          <w:rFonts w:cstheme="minorHAnsi"/>
        </w:rPr>
        <w:t>Kaldahl WB, et al. Long-term evaluation of periodontal therapy: I. Response to 4 therapeutic modalities. J Periodontol. 1996 Feb;67(2):93-102.</w:t>
      </w:r>
    </w:p>
    <w:p w14:paraId="5534DBDE" w14:textId="77777777" w:rsidR="00CB1DCE" w:rsidRPr="00CB1DCE" w:rsidRDefault="00CB1DCE" w:rsidP="00CB1DCE">
      <w:pPr>
        <w:spacing w:after="120"/>
        <w:rPr>
          <w:rFonts w:cstheme="minorHAnsi"/>
        </w:rPr>
      </w:pPr>
      <w:r w:rsidRPr="00CB1DCE">
        <w:rPr>
          <w:rFonts w:cstheme="minorHAnsi"/>
        </w:rPr>
        <w:t>Kaldahl WB, et al. Evaluation of four modalities of periodontal therapy. Mean probing depth, probing attachment level and recession changes. J Periodontol. 1988 Dec;59(12):783-93.</w:t>
      </w:r>
    </w:p>
    <w:p w14:paraId="67E3BAF9" w14:textId="77777777" w:rsidR="00CB1DCE" w:rsidRPr="00CB1DCE" w:rsidRDefault="00CB1DCE" w:rsidP="00CB1DCE">
      <w:pPr>
        <w:spacing w:after="120"/>
        <w:rPr>
          <w:rFonts w:cstheme="minorHAnsi"/>
        </w:rPr>
      </w:pPr>
      <w:r w:rsidRPr="00CB1DCE">
        <w:rPr>
          <w:rFonts w:cstheme="minorHAnsi"/>
        </w:rPr>
        <w:t>Levine DF, Filippelli G. A review of osseous resective surgery. J Calif Dent Assoc. 1999 Feb;27(2):125, 128-34.</w:t>
      </w:r>
    </w:p>
    <w:p w14:paraId="2688CECE" w14:textId="77777777" w:rsidR="00CB1DCE" w:rsidRPr="00CB1DCE" w:rsidRDefault="00CB1DCE" w:rsidP="00CB1DCE">
      <w:pPr>
        <w:spacing w:after="120"/>
        <w:rPr>
          <w:rFonts w:cstheme="minorHAnsi"/>
        </w:rPr>
      </w:pPr>
      <w:r w:rsidRPr="00CB1DCE">
        <w:rPr>
          <w:rFonts w:cstheme="minorHAnsi"/>
        </w:rPr>
        <w:t>Mailoa J, et al. Long-Term Effect of Four Surgical Periodontal Therapies and One Non-Surgical Therapy: A Systematic Review and Meta-Analysis. J Periodontol. 2015 Oct;86(10):1150-8.</w:t>
      </w:r>
    </w:p>
    <w:p w14:paraId="69728156" w14:textId="77777777" w:rsidR="00CB1DCE" w:rsidRPr="00CB1DCE" w:rsidRDefault="00CB1DCE" w:rsidP="00CB1DCE">
      <w:pPr>
        <w:spacing w:after="120"/>
        <w:rPr>
          <w:rFonts w:cstheme="minorHAnsi"/>
        </w:rPr>
      </w:pPr>
      <w:r w:rsidRPr="00CB1DCE">
        <w:rPr>
          <w:rFonts w:cstheme="minorHAnsi"/>
        </w:rPr>
        <w:t>Newman MG, Klokkevold PR, Elangovan S, Kapila Y, Carranza FA, Takei H. Newman and Carranza's Clinical Periodontology and Implantology. 14th ed. Elsevier; 2023.</w:t>
      </w:r>
    </w:p>
    <w:p w14:paraId="49E55ADB" w14:textId="05F77640" w:rsidR="004233B2" w:rsidRPr="00F01ED6" w:rsidRDefault="00CB1DCE" w:rsidP="00F01ED6">
      <w:pPr>
        <w:spacing w:after="120"/>
        <w:rPr>
          <w:rFonts w:cstheme="minorHAnsi"/>
        </w:rPr>
      </w:pPr>
      <w:r w:rsidRPr="00CB1DCE">
        <w:rPr>
          <w:rFonts w:cstheme="minorHAnsi"/>
        </w:rPr>
        <w:t>Polak D, et al. The efficacy of pocket elimination/reduction compared to access flap surgery: A systematic review and meta-analysis. J Clin Periodontol. 2020 Jul:47 Suppl 22:303-319.</w:t>
      </w:r>
    </w:p>
    <w:sectPr w:rsidR="004233B2" w:rsidRPr="00F01ED6" w:rsidSect="00472159">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710DB" w14:textId="77777777" w:rsidR="00EB00B4" w:rsidRDefault="00EB00B4" w:rsidP="00AF13B5">
      <w:r>
        <w:separator/>
      </w:r>
    </w:p>
  </w:endnote>
  <w:endnote w:type="continuationSeparator" w:id="0">
    <w:p w14:paraId="740F6524" w14:textId="77777777" w:rsidR="00EB00B4" w:rsidRDefault="00EB00B4" w:rsidP="00AF1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246284"/>
      <w:docPartObj>
        <w:docPartGallery w:val="Page Numbers (Bottom of Page)"/>
        <w:docPartUnique/>
      </w:docPartObj>
    </w:sdtPr>
    <w:sdtEndPr/>
    <w:sdtContent>
      <w:sdt>
        <w:sdtPr>
          <w:id w:val="-445780499"/>
          <w:docPartObj>
            <w:docPartGallery w:val="Page Numbers (Top of Page)"/>
            <w:docPartUnique/>
          </w:docPartObj>
        </w:sdtPr>
        <w:sdtEndPr/>
        <w:sdtContent>
          <w:p w14:paraId="60A200D2" w14:textId="77777777" w:rsidR="00472159" w:rsidRDefault="00A577DF" w:rsidP="00472159">
            <w:pPr>
              <w:pStyle w:val="Footer"/>
            </w:pPr>
            <w:r w:rsidRPr="004D4672">
              <w:rPr>
                <w:sz w:val="8"/>
                <w:szCs w:val="8"/>
              </w:rPr>
              <w:br/>
            </w:r>
          </w:p>
          <w:p w14:paraId="42065BDE" w14:textId="18D9623F" w:rsidR="00472159" w:rsidRDefault="00472159" w:rsidP="00472159">
            <w:pPr>
              <w:pStyle w:val="Footer"/>
              <w:rPr>
                <w:sz w:val="20"/>
                <w:szCs w:val="20"/>
              </w:rPr>
            </w:pPr>
            <w:r w:rsidRPr="00F91B91">
              <w:rPr>
                <w:sz w:val="20"/>
                <w:szCs w:val="20"/>
              </w:rPr>
              <w:t>This document contains proprietary information of Delta Dental of Michigan and may not be copied, distributed, republished, licensed, uploaded, posted, or transmitted in any way, without our prior written consent.</w:t>
            </w:r>
          </w:p>
          <w:p w14:paraId="7E25713A" w14:textId="08FF3CDA" w:rsidR="00A577DF" w:rsidRPr="004B7131" w:rsidRDefault="00A577DF" w:rsidP="003C0606">
            <w:pPr>
              <w:pStyle w:val="Footer"/>
              <w:jc w:val="right"/>
              <w:rPr>
                <w:sz w:val="20"/>
                <w:szCs w:val="20"/>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7</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4D964" w14:textId="77777777" w:rsidR="00EB00B4" w:rsidRDefault="00EB00B4" w:rsidP="00AF13B5">
      <w:r>
        <w:separator/>
      </w:r>
    </w:p>
  </w:footnote>
  <w:footnote w:type="continuationSeparator" w:id="0">
    <w:p w14:paraId="21DF4650" w14:textId="77777777" w:rsidR="00EB00B4" w:rsidRDefault="00EB00B4" w:rsidP="00AF13B5">
      <w:r>
        <w:continuationSeparator/>
      </w:r>
    </w:p>
  </w:footnote>
  <w:footnote w:id="1">
    <w:p w14:paraId="25C23B8C" w14:textId="1A459931" w:rsidR="00F23A8D" w:rsidRDefault="00F23A8D">
      <w:pPr>
        <w:pStyle w:val="FootnoteText"/>
      </w:pPr>
      <w:r>
        <w:rPr>
          <w:rStyle w:val="FootnoteReference"/>
        </w:rPr>
        <w:footnoteRef/>
      </w:r>
      <w:r>
        <w:t xml:space="preserve"> </w:t>
      </w:r>
      <w:r w:rsidR="002A38D2" w:rsidRPr="002A38D2">
        <w:t>Government regulations or the provisions of a member's dental plan that define when a dental procedure may be considered medically necessary and clinically appropriate with respect to benefit coverage may take precedence over these clinical criteria.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E3CE2"/>
    <w:multiLevelType w:val="hybridMultilevel"/>
    <w:tmpl w:val="BB08B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8913D8"/>
    <w:multiLevelType w:val="hybridMultilevel"/>
    <w:tmpl w:val="CD723294"/>
    <w:lvl w:ilvl="0" w:tplc="1C9CEF1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AB78E1"/>
    <w:multiLevelType w:val="hybridMultilevel"/>
    <w:tmpl w:val="AB94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3073B2"/>
    <w:multiLevelType w:val="hybridMultilevel"/>
    <w:tmpl w:val="823A5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8F4B3F"/>
    <w:multiLevelType w:val="hybridMultilevel"/>
    <w:tmpl w:val="E23003C4"/>
    <w:lvl w:ilvl="0" w:tplc="04090001">
      <w:start w:val="1"/>
      <w:numFmt w:val="bullet"/>
      <w:lvlText w:val=""/>
      <w:lvlJc w:val="left"/>
      <w:pPr>
        <w:ind w:left="360" w:hanging="360"/>
      </w:pPr>
      <w:rPr>
        <w:rFonts w:ascii="Symbol" w:hAnsi="Symbol" w:hint="default"/>
        <w:sz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513B01BD"/>
    <w:multiLevelType w:val="hybridMultilevel"/>
    <w:tmpl w:val="DA849DCC"/>
    <w:lvl w:ilvl="0" w:tplc="03E2658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073064"/>
    <w:multiLevelType w:val="hybridMultilevel"/>
    <w:tmpl w:val="3DC4F45C"/>
    <w:lvl w:ilvl="0" w:tplc="36B05A62">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B730422"/>
    <w:multiLevelType w:val="hybridMultilevel"/>
    <w:tmpl w:val="611AB308"/>
    <w:lvl w:ilvl="0" w:tplc="03E2658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E60BBD"/>
    <w:multiLevelType w:val="hybridMultilevel"/>
    <w:tmpl w:val="17021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DB4691"/>
    <w:multiLevelType w:val="hybridMultilevel"/>
    <w:tmpl w:val="C7BC3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1CF69A7"/>
    <w:multiLevelType w:val="hybridMultilevel"/>
    <w:tmpl w:val="19C8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4C54FA"/>
    <w:multiLevelType w:val="hybridMultilevel"/>
    <w:tmpl w:val="8E8C2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156FE5"/>
    <w:multiLevelType w:val="hybridMultilevel"/>
    <w:tmpl w:val="C4D81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33708784">
    <w:abstractNumId w:val="9"/>
  </w:num>
  <w:num w:numId="2" w16cid:durableId="2021538176">
    <w:abstractNumId w:val="0"/>
  </w:num>
  <w:num w:numId="3" w16cid:durableId="1720013745">
    <w:abstractNumId w:val="11"/>
  </w:num>
  <w:num w:numId="4" w16cid:durableId="2061443873">
    <w:abstractNumId w:val="8"/>
  </w:num>
  <w:num w:numId="5" w16cid:durableId="1161392244">
    <w:abstractNumId w:val="10"/>
  </w:num>
  <w:num w:numId="6" w16cid:durableId="2047876362">
    <w:abstractNumId w:val="2"/>
  </w:num>
  <w:num w:numId="7" w16cid:durableId="1788742468">
    <w:abstractNumId w:val="4"/>
  </w:num>
  <w:num w:numId="8" w16cid:durableId="1722246967">
    <w:abstractNumId w:val="12"/>
  </w:num>
  <w:num w:numId="9" w16cid:durableId="1108618003">
    <w:abstractNumId w:val="3"/>
  </w:num>
  <w:num w:numId="10" w16cid:durableId="617373936">
    <w:abstractNumId w:val="1"/>
  </w:num>
  <w:num w:numId="11" w16cid:durableId="613177391">
    <w:abstractNumId w:val="6"/>
  </w:num>
  <w:num w:numId="12" w16cid:durableId="1515606580">
    <w:abstractNumId w:val="7"/>
  </w:num>
  <w:num w:numId="13" w16cid:durableId="58419199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3B5"/>
    <w:rsid w:val="000002BB"/>
    <w:rsid w:val="0000202E"/>
    <w:rsid w:val="00002DEB"/>
    <w:rsid w:val="000038E8"/>
    <w:rsid w:val="00003945"/>
    <w:rsid w:val="00005215"/>
    <w:rsid w:val="00006BC7"/>
    <w:rsid w:val="0001106F"/>
    <w:rsid w:val="0001458E"/>
    <w:rsid w:val="00014997"/>
    <w:rsid w:val="000152D4"/>
    <w:rsid w:val="00016F8F"/>
    <w:rsid w:val="0001769B"/>
    <w:rsid w:val="000200CD"/>
    <w:rsid w:val="000202AD"/>
    <w:rsid w:val="00020961"/>
    <w:rsid w:val="00022D8F"/>
    <w:rsid w:val="000238C1"/>
    <w:rsid w:val="00025FE6"/>
    <w:rsid w:val="00027F19"/>
    <w:rsid w:val="0003060C"/>
    <w:rsid w:val="00031E1D"/>
    <w:rsid w:val="000321B9"/>
    <w:rsid w:val="00033D6C"/>
    <w:rsid w:val="00041182"/>
    <w:rsid w:val="00043F51"/>
    <w:rsid w:val="00043F9E"/>
    <w:rsid w:val="00051100"/>
    <w:rsid w:val="00052D5A"/>
    <w:rsid w:val="00053ED3"/>
    <w:rsid w:val="00061894"/>
    <w:rsid w:val="00062425"/>
    <w:rsid w:val="00062D17"/>
    <w:rsid w:val="00064E0D"/>
    <w:rsid w:val="000650D5"/>
    <w:rsid w:val="000652A5"/>
    <w:rsid w:val="00065779"/>
    <w:rsid w:val="00065EB2"/>
    <w:rsid w:val="00067916"/>
    <w:rsid w:val="00072F16"/>
    <w:rsid w:val="000749EF"/>
    <w:rsid w:val="00075153"/>
    <w:rsid w:val="0007574D"/>
    <w:rsid w:val="00075F27"/>
    <w:rsid w:val="00076D79"/>
    <w:rsid w:val="00077905"/>
    <w:rsid w:val="00080E94"/>
    <w:rsid w:val="00081F66"/>
    <w:rsid w:val="000869B4"/>
    <w:rsid w:val="00087F8D"/>
    <w:rsid w:val="00091063"/>
    <w:rsid w:val="00093C2D"/>
    <w:rsid w:val="000949F7"/>
    <w:rsid w:val="0009674A"/>
    <w:rsid w:val="000A0BB1"/>
    <w:rsid w:val="000A377A"/>
    <w:rsid w:val="000A39C6"/>
    <w:rsid w:val="000A588D"/>
    <w:rsid w:val="000A677A"/>
    <w:rsid w:val="000A7327"/>
    <w:rsid w:val="000B0536"/>
    <w:rsid w:val="000B20FB"/>
    <w:rsid w:val="000B3010"/>
    <w:rsid w:val="000B64B0"/>
    <w:rsid w:val="000C032A"/>
    <w:rsid w:val="000C37F4"/>
    <w:rsid w:val="000C646A"/>
    <w:rsid w:val="000C73BA"/>
    <w:rsid w:val="000C7431"/>
    <w:rsid w:val="000D0870"/>
    <w:rsid w:val="000D10E3"/>
    <w:rsid w:val="000D130A"/>
    <w:rsid w:val="000D31B4"/>
    <w:rsid w:val="000D3726"/>
    <w:rsid w:val="000D44EF"/>
    <w:rsid w:val="000D50F1"/>
    <w:rsid w:val="000D6B84"/>
    <w:rsid w:val="000D6DE0"/>
    <w:rsid w:val="000D7066"/>
    <w:rsid w:val="000D7DF4"/>
    <w:rsid w:val="000E0715"/>
    <w:rsid w:val="000E0EC5"/>
    <w:rsid w:val="000E2AB7"/>
    <w:rsid w:val="000E4A9A"/>
    <w:rsid w:val="000E4E09"/>
    <w:rsid w:val="000E57D5"/>
    <w:rsid w:val="000E64D4"/>
    <w:rsid w:val="000F285B"/>
    <w:rsid w:val="000F3054"/>
    <w:rsid w:val="000F3231"/>
    <w:rsid w:val="000F5849"/>
    <w:rsid w:val="000F6A31"/>
    <w:rsid w:val="0010001D"/>
    <w:rsid w:val="00100E2C"/>
    <w:rsid w:val="00102FCC"/>
    <w:rsid w:val="001045A4"/>
    <w:rsid w:val="00104868"/>
    <w:rsid w:val="001057C8"/>
    <w:rsid w:val="00106CD3"/>
    <w:rsid w:val="0010757A"/>
    <w:rsid w:val="001103FA"/>
    <w:rsid w:val="00110C9C"/>
    <w:rsid w:val="00111366"/>
    <w:rsid w:val="00112695"/>
    <w:rsid w:val="00115636"/>
    <w:rsid w:val="00116B43"/>
    <w:rsid w:val="00120C44"/>
    <w:rsid w:val="00120E36"/>
    <w:rsid w:val="00130005"/>
    <w:rsid w:val="001309F9"/>
    <w:rsid w:val="00132DB6"/>
    <w:rsid w:val="00132F0D"/>
    <w:rsid w:val="0013385C"/>
    <w:rsid w:val="001353E3"/>
    <w:rsid w:val="0013547B"/>
    <w:rsid w:val="001368C5"/>
    <w:rsid w:val="00137127"/>
    <w:rsid w:val="00142530"/>
    <w:rsid w:val="001426D6"/>
    <w:rsid w:val="0014363B"/>
    <w:rsid w:val="00143E30"/>
    <w:rsid w:val="0015083A"/>
    <w:rsid w:val="00150A16"/>
    <w:rsid w:val="00152161"/>
    <w:rsid w:val="00152F8B"/>
    <w:rsid w:val="001549BA"/>
    <w:rsid w:val="00155655"/>
    <w:rsid w:val="00157844"/>
    <w:rsid w:val="00160808"/>
    <w:rsid w:val="001608B7"/>
    <w:rsid w:val="001616BC"/>
    <w:rsid w:val="001623D9"/>
    <w:rsid w:val="00164525"/>
    <w:rsid w:val="001645C1"/>
    <w:rsid w:val="00164E2D"/>
    <w:rsid w:val="00165596"/>
    <w:rsid w:val="001658A6"/>
    <w:rsid w:val="00165BB4"/>
    <w:rsid w:val="00166572"/>
    <w:rsid w:val="001672FB"/>
    <w:rsid w:val="001734A9"/>
    <w:rsid w:val="00173901"/>
    <w:rsid w:val="001743D4"/>
    <w:rsid w:val="00174442"/>
    <w:rsid w:val="001751BB"/>
    <w:rsid w:val="00180B8A"/>
    <w:rsid w:val="00181CD3"/>
    <w:rsid w:val="0018227C"/>
    <w:rsid w:val="0018243A"/>
    <w:rsid w:val="001826BD"/>
    <w:rsid w:val="00184F47"/>
    <w:rsid w:val="00185DB0"/>
    <w:rsid w:val="00186DB7"/>
    <w:rsid w:val="001915E1"/>
    <w:rsid w:val="00192024"/>
    <w:rsid w:val="0019390F"/>
    <w:rsid w:val="00193E6D"/>
    <w:rsid w:val="001945AB"/>
    <w:rsid w:val="00196351"/>
    <w:rsid w:val="00197258"/>
    <w:rsid w:val="001A1DCE"/>
    <w:rsid w:val="001A2E52"/>
    <w:rsid w:val="001B0BB7"/>
    <w:rsid w:val="001B438E"/>
    <w:rsid w:val="001B488E"/>
    <w:rsid w:val="001B5648"/>
    <w:rsid w:val="001B5FAF"/>
    <w:rsid w:val="001B6F74"/>
    <w:rsid w:val="001C00EF"/>
    <w:rsid w:val="001C144C"/>
    <w:rsid w:val="001C4F66"/>
    <w:rsid w:val="001C7D48"/>
    <w:rsid w:val="001C7EB8"/>
    <w:rsid w:val="001D1EF1"/>
    <w:rsid w:val="001D22CF"/>
    <w:rsid w:val="001D45D3"/>
    <w:rsid w:val="001D7CF9"/>
    <w:rsid w:val="001E0521"/>
    <w:rsid w:val="001E0C57"/>
    <w:rsid w:val="001E42E9"/>
    <w:rsid w:val="001E44E3"/>
    <w:rsid w:val="001E53E8"/>
    <w:rsid w:val="001E62D6"/>
    <w:rsid w:val="001E703B"/>
    <w:rsid w:val="001E799C"/>
    <w:rsid w:val="001F22C1"/>
    <w:rsid w:val="001F41EA"/>
    <w:rsid w:val="001F4409"/>
    <w:rsid w:val="001F4454"/>
    <w:rsid w:val="001F4C01"/>
    <w:rsid w:val="001F4EF6"/>
    <w:rsid w:val="001F5E67"/>
    <w:rsid w:val="001F7518"/>
    <w:rsid w:val="002013C7"/>
    <w:rsid w:val="00201CC2"/>
    <w:rsid w:val="002028CC"/>
    <w:rsid w:val="0020755D"/>
    <w:rsid w:val="0021003D"/>
    <w:rsid w:val="00212B1B"/>
    <w:rsid w:val="00213F15"/>
    <w:rsid w:val="0021450A"/>
    <w:rsid w:val="00214ABC"/>
    <w:rsid w:val="00215F20"/>
    <w:rsid w:val="002167AC"/>
    <w:rsid w:val="0021789F"/>
    <w:rsid w:val="00220581"/>
    <w:rsid w:val="002214E9"/>
    <w:rsid w:val="002221EA"/>
    <w:rsid w:val="002239CD"/>
    <w:rsid w:val="00227582"/>
    <w:rsid w:val="002279EE"/>
    <w:rsid w:val="00227EB7"/>
    <w:rsid w:val="0023029D"/>
    <w:rsid w:val="00230510"/>
    <w:rsid w:val="00230A1C"/>
    <w:rsid w:val="00230AD1"/>
    <w:rsid w:val="00232CCB"/>
    <w:rsid w:val="00233F69"/>
    <w:rsid w:val="002341DE"/>
    <w:rsid w:val="002348FA"/>
    <w:rsid w:val="002454EE"/>
    <w:rsid w:val="00247183"/>
    <w:rsid w:val="00250B5E"/>
    <w:rsid w:val="002514CA"/>
    <w:rsid w:val="002528F5"/>
    <w:rsid w:val="002535A2"/>
    <w:rsid w:val="00254E16"/>
    <w:rsid w:val="002551F6"/>
    <w:rsid w:val="002554FE"/>
    <w:rsid w:val="0025797C"/>
    <w:rsid w:val="00257A4E"/>
    <w:rsid w:val="00257EE6"/>
    <w:rsid w:val="00261EFE"/>
    <w:rsid w:val="002623A3"/>
    <w:rsid w:val="00263179"/>
    <w:rsid w:val="002653B2"/>
    <w:rsid w:val="0026692B"/>
    <w:rsid w:val="00271044"/>
    <w:rsid w:val="0027149A"/>
    <w:rsid w:val="00271761"/>
    <w:rsid w:val="00271936"/>
    <w:rsid w:val="002756F1"/>
    <w:rsid w:val="00275E97"/>
    <w:rsid w:val="002761F5"/>
    <w:rsid w:val="0027717D"/>
    <w:rsid w:val="00280215"/>
    <w:rsid w:val="00281413"/>
    <w:rsid w:val="00281646"/>
    <w:rsid w:val="0028174F"/>
    <w:rsid w:val="002835F2"/>
    <w:rsid w:val="00285236"/>
    <w:rsid w:val="00285B6C"/>
    <w:rsid w:val="00287359"/>
    <w:rsid w:val="00287512"/>
    <w:rsid w:val="00291EF6"/>
    <w:rsid w:val="002938AB"/>
    <w:rsid w:val="0029419E"/>
    <w:rsid w:val="0029490C"/>
    <w:rsid w:val="002A0439"/>
    <w:rsid w:val="002A12E0"/>
    <w:rsid w:val="002A1AEE"/>
    <w:rsid w:val="002A1B5E"/>
    <w:rsid w:val="002A38D2"/>
    <w:rsid w:val="002A4651"/>
    <w:rsid w:val="002A5FD2"/>
    <w:rsid w:val="002A6F8D"/>
    <w:rsid w:val="002B1244"/>
    <w:rsid w:val="002B6D3E"/>
    <w:rsid w:val="002C2A69"/>
    <w:rsid w:val="002C626A"/>
    <w:rsid w:val="002D2817"/>
    <w:rsid w:val="002D2CB4"/>
    <w:rsid w:val="002D3A86"/>
    <w:rsid w:val="002D40E1"/>
    <w:rsid w:val="002D4696"/>
    <w:rsid w:val="002D4F25"/>
    <w:rsid w:val="002D6A00"/>
    <w:rsid w:val="002E398F"/>
    <w:rsid w:val="002E4F5F"/>
    <w:rsid w:val="002E6686"/>
    <w:rsid w:val="002E6998"/>
    <w:rsid w:val="002F264A"/>
    <w:rsid w:val="002F40D6"/>
    <w:rsid w:val="002F40F1"/>
    <w:rsid w:val="002F5981"/>
    <w:rsid w:val="002F7A1A"/>
    <w:rsid w:val="00300BB8"/>
    <w:rsid w:val="00300BDF"/>
    <w:rsid w:val="0030293A"/>
    <w:rsid w:val="00302D42"/>
    <w:rsid w:val="00305F01"/>
    <w:rsid w:val="00306913"/>
    <w:rsid w:val="00306DCE"/>
    <w:rsid w:val="0031047B"/>
    <w:rsid w:val="00312594"/>
    <w:rsid w:val="00312FEE"/>
    <w:rsid w:val="003134E6"/>
    <w:rsid w:val="00320310"/>
    <w:rsid w:val="00321A7E"/>
    <w:rsid w:val="00323685"/>
    <w:rsid w:val="00326868"/>
    <w:rsid w:val="00332D9F"/>
    <w:rsid w:val="003332A5"/>
    <w:rsid w:val="00334528"/>
    <w:rsid w:val="00335133"/>
    <w:rsid w:val="00336777"/>
    <w:rsid w:val="003406A9"/>
    <w:rsid w:val="00341A28"/>
    <w:rsid w:val="003422CA"/>
    <w:rsid w:val="003430C3"/>
    <w:rsid w:val="0034334C"/>
    <w:rsid w:val="00347C3A"/>
    <w:rsid w:val="0035130D"/>
    <w:rsid w:val="0035215D"/>
    <w:rsid w:val="00353054"/>
    <w:rsid w:val="0035614E"/>
    <w:rsid w:val="00360896"/>
    <w:rsid w:val="00360E2D"/>
    <w:rsid w:val="00360FDA"/>
    <w:rsid w:val="0036123B"/>
    <w:rsid w:val="00361E25"/>
    <w:rsid w:val="00365581"/>
    <w:rsid w:val="00366B0B"/>
    <w:rsid w:val="003700C6"/>
    <w:rsid w:val="00370BC6"/>
    <w:rsid w:val="0037153E"/>
    <w:rsid w:val="0037182B"/>
    <w:rsid w:val="003725DD"/>
    <w:rsid w:val="0037424E"/>
    <w:rsid w:val="00375AD3"/>
    <w:rsid w:val="00377668"/>
    <w:rsid w:val="00382286"/>
    <w:rsid w:val="00382B1E"/>
    <w:rsid w:val="00382F7B"/>
    <w:rsid w:val="00390940"/>
    <w:rsid w:val="00390CF1"/>
    <w:rsid w:val="003926C4"/>
    <w:rsid w:val="0039550F"/>
    <w:rsid w:val="003A0C7B"/>
    <w:rsid w:val="003A11F2"/>
    <w:rsid w:val="003A16E6"/>
    <w:rsid w:val="003A1C20"/>
    <w:rsid w:val="003A24A5"/>
    <w:rsid w:val="003A411C"/>
    <w:rsid w:val="003A46AC"/>
    <w:rsid w:val="003A4790"/>
    <w:rsid w:val="003A5657"/>
    <w:rsid w:val="003A5828"/>
    <w:rsid w:val="003A6010"/>
    <w:rsid w:val="003A63A1"/>
    <w:rsid w:val="003A6D4F"/>
    <w:rsid w:val="003B004C"/>
    <w:rsid w:val="003B2677"/>
    <w:rsid w:val="003B511E"/>
    <w:rsid w:val="003B7454"/>
    <w:rsid w:val="003C0606"/>
    <w:rsid w:val="003C1E14"/>
    <w:rsid w:val="003C6330"/>
    <w:rsid w:val="003C6674"/>
    <w:rsid w:val="003D0352"/>
    <w:rsid w:val="003D2AAE"/>
    <w:rsid w:val="003D6188"/>
    <w:rsid w:val="003D66FD"/>
    <w:rsid w:val="003E0C6D"/>
    <w:rsid w:val="003E30A9"/>
    <w:rsid w:val="003E3A5E"/>
    <w:rsid w:val="003E4CE8"/>
    <w:rsid w:val="003E57F6"/>
    <w:rsid w:val="003E5E63"/>
    <w:rsid w:val="003F0F21"/>
    <w:rsid w:val="003F1A90"/>
    <w:rsid w:val="003F415D"/>
    <w:rsid w:val="003F4C0A"/>
    <w:rsid w:val="003F6EF6"/>
    <w:rsid w:val="004017F7"/>
    <w:rsid w:val="00401D74"/>
    <w:rsid w:val="00403C44"/>
    <w:rsid w:val="004056C9"/>
    <w:rsid w:val="0040702A"/>
    <w:rsid w:val="004109A4"/>
    <w:rsid w:val="004129B5"/>
    <w:rsid w:val="004139EC"/>
    <w:rsid w:val="004203CC"/>
    <w:rsid w:val="004212C3"/>
    <w:rsid w:val="004233B2"/>
    <w:rsid w:val="00430C5B"/>
    <w:rsid w:val="00432321"/>
    <w:rsid w:val="004335F9"/>
    <w:rsid w:val="00433C66"/>
    <w:rsid w:val="00433DF0"/>
    <w:rsid w:val="00437360"/>
    <w:rsid w:val="00437E5B"/>
    <w:rsid w:val="00443078"/>
    <w:rsid w:val="004454CC"/>
    <w:rsid w:val="00445E50"/>
    <w:rsid w:val="0045023E"/>
    <w:rsid w:val="004521C7"/>
    <w:rsid w:val="004523B3"/>
    <w:rsid w:val="00453372"/>
    <w:rsid w:val="004544F5"/>
    <w:rsid w:val="00455744"/>
    <w:rsid w:val="004603EF"/>
    <w:rsid w:val="004637D6"/>
    <w:rsid w:val="00466BF3"/>
    <w:rsid w:val="00471A19"/>
    <w:rsid w:val="00472159"/>
    <w:rsid w:val="00472FE9"/>
    <w:rsid w:val="00473B26"/>
    <w:rsid w:val="00475FE4"/>
    <w:rsid w:val="00476A0D"/>
    <w:rsid w:val="00481A15"/>
    <w:rsid w:val="00482599"/>
    <w:rsid w:val="004826B6"/>
    <w:rsid w:val="00487975"/>
    <w:rsid w:val="004900A9"/>
    <w:rsid w:val="00491AF7"/>
    <w:rsid w:val="0049280D"/>
    <w:rsid w:val="004932B6"/>
    <w:rsid w:val="004979CE"/>
    <w:rsid w:val="004A28FF"/>
    <w:rsid w:val="004A36C4"/>
    <w:rsid w:val="004A6724"/>
    <w:rsid w:val="004B1444"/>
    <w:rsid w:val="004B311D"/>
    <w:rsid w:val="004B4B40"/>
    <w:rsid w:val="004B6FCE"/>
    <w:rsid w:val="004B7131"/>
    <w:rsid w:val="004C0B28"/>
    <w:rsid w:val="004C13C3"/>
    <w:rsid w:val="004C13E1"/>
    <w:rsid w:val="004C2D29"/>
    <w:rsid w:val="004C444C"/>
    <w:rsid w:val="004C4770"/>
    <w:rsid w:val="004C65E4"/>
    <w:rsid w:val="004C6B18"/>
    <w:rsid w:val="004C6D64"/>
    <w:rsid w:val="004C7B5B"/>
    <w:rsid w:val="004D23CF"/>
    <w:rsid w:val="004D3F3F"/>
    <w:rsid w:val="004D6C05"/>
    <w:rsid w:val="004D6CD3"/>
    <w:rsid w:val="004D77C9"/>
    <w:rsid w:val="004E06C5"/>
    <w:rsid w:val="004E23E3"/>
    <w:rsid w:val="004E38C2"/>
    <w:rsid w:val="004E5FB4"/>
    <w:rsid w:val="004E66C7"/>
    <w:rsid w:val="004E67AD"/>
    <w:rsid w:val="004E7A04"/>
    <w:rsid w:val="004F07D0"/>
    <w:rsid w:val="004F123C"/>
    <w:rsid w:val="004F3D9C"/>
    <w:rsid w:val="004F56F4"/>
    <w:rsid w:val="004F763C"/>
    <w:rsid w:val="005004D7"/>
    <w:rsid w:val="00500551"/>
    <w:rsid w:val="00500BD0"/>
    <w:rsid w:val="00503E58"/>
    <w:rsid w:val="00504BFD"/>
    <w:rsid w:val="005072CE"/>
    <w:rsid w:val="00510B1A"/>
    <w:rsid w:val="00512419"/>
    <w:rsid w:val="00513C95"/>
    <w:rsid w:val="00514827"/>
    <w:rsid w:val="005151B0"/>
    <w:rsid w:val="00517FD8"/>
    <w:rsid w:val="00520B63"/>
    <w:rsid w:val="00520D5A"/>
    <w:rsid w:val="00521052"/>
    <w:rsid w:val="005258B1"/>
    <w:rsid w:val="00525A6A"/>
    <w:rsid w:val="00525B25"/>
    <w:rsid w:val="00527E98"/>
    <w:rsid w:val="005319FE"/>
    <w:rsid w:val="005356CE"/>
    <w:rsid w:val="005368C5"/>
    <w:rsid w:val="00537CDA"/>
    <w:rsid w:val="00542B8F"/>
    <w:rsid w:val="00543E78"/>
    <w:rsid w:val="00543F5D"/>
    <w:rsid w:val="00544368"/>
    <w:rsid w:val="00544B64"/>
    <w:rsid w:val="00545585"/>
    <w:rsid w:val="005455E3"/>
    <w:rsid w:val="0054652F"/>
    <w:rsid w:val="00546D7A"/>
    <w:rsid w:val="00547D3C"/>
    <w:rsid w:val="00550591"/>
    <w:rsid w:val="0055064E"/>
    <w:rsid w:val="005528DC"/>
    <w:rsid w:val="00555F6B"/>
    <w:rsid w:val="005567FF"/>
    <w:rsid w:val="00560440"/>
    <w:rsid w:val="00560F6E"/>
    <w:rsid w:val="005612D3"/>
    <w:rsid w:val="00562B8F"/>
    <w:rsid w:val="00562C0F"/>
    <w:rsid w:val="00566126"/>
    <w:rsid w:val="005670CB"/>
    <w:rsid w:val="005710DE"/>
    <w:rsid w:val="005734E6"/>
    <w:rsid w:val="00573512"/>
    <w:rsid w:val="0057371C"/>
    <w:rsid w:val="0057485B"/>
    <w:rsid w:val="00575BB7"/>
    <w:rsid w:val="0057714E"/>
    <w:rsid w:val="00582073"/>
    <w:rsid w:val="0058291B"/>
    <w:rsid w:val="00582FE7"/>
    <w:rsid w:val="00583BFF"/>
    <w:rsid w:val="0058417E"/>
    <w:rsid w:val="00584ECE"/>
    <w:rsid w:val="00585532"/>
    <w:rsid w:val="00586B22"/>
    <w:rsid w:val="00587BD3"/>
    <w:rsid w:val="00594F24"/>
    <w:rsid w:val="00594F7D"/>
    <w:rsid w:val="005966E2"/>
    <w:rsid w:val="005A240D"/>
    <w:rsid w:val="005A2899"/>
    <w:rsid w:val="005A2C37"/>
    <w:rsid w:val="005A51C4"/>
    <w:rsid w:val="005A6889"/>
    <w:rsid w:val="005A7B6B"/>
    <w:rsid w:val="005A7CEE"/>
    <w:rsid w:val="005B1C08"/>
    <w:rsid w:val="005B2004"/>
    <w:rsid w:val="005B23C7"/>
    <w:rsid w:val="005B2FC5"/>
    <w:rsid w:val="005B53B1"/>
    <w:rsid w:val="005C051D"/>
    <w:rsid w:val="005C1DF2"/>
    <w:rsid w:val="005C41D5"/>
    <w:rsid w:val="005C495F"/>
    <w:rsid w:val="005C4DC6"/>
    <w:rsid w:val="005C5ED0"/>
    <w:rsid w:val="005C6880"/>
    <w:rsid w:val="005D06F2"/>
    <w:rsid w:val="005D36ED"/>
    <w:rsid w:val="005D5AFF"/>
    <w:rsid w:val="005D6B1D"/>
    <w:rsid w:val="005D7BDB"/>
    <w:rsid w:val="005E0D49"/>
    <w:rsid w:val="005E14D5"/>
    <w:rsid w:val="005E3504"/>
    <w:rsid w:val="005E4010"/>
    <w:rsid w:val="005E4677"/>
    <w:rsid w:val="005E5077"/>
    <w:rsid w:val="005E6257"/>
    <w:rsid w:val="005F07F2"/>
    <w:rsid w:val="005F0D14"/>
    <w:rsid w:val="00600A45"/>
    <w:rsid w:val="00601109"/>
    <w:rsid w:val="0060264D"/>
    <w:rsid w:val="0060366A"/>
    <w:rsid w:val="00603D20"/>
    <w:rsid w:val="00605CCD"/>
    <w:rsid w:val="00605FC3"/>
    <w:rsid w:val="0061090C"/>
    <w:rsid w:val="00610C21"/>
    <w:rsid w:val="006129A1"/>
    <w:rsid w:val="006150D1"/>
    <w:rsid w:val="006166B9"/>
    <w:rsid w:val="006178CF"/>
    <w:rsid w:val="00621F76"/>
    <w:rsid w:val="00622C70"/>
    <w:rsid w:val="00623722"/>
    <w:rsid w:val="00623867"/>
    <w:rsid w:val="006239DA"/>
    <w:rsid w:val="00623A33"/>
    <w:rsid w:val="0062490A"/>
    <w:rsid w:val="00625C74"/>
    <w:rsid w:val="00625FE7"/>
    <w:rsid w:val="006262DB"/>
    <w:rsid w:val="006274BE"/>
    <w:rsid w:val="006276D8"/>
    <w:rsid w:val="00627E7C"/>
    <w:rsid w:val="00634DCC"/>
    <w:rsid w:val="0063560D"/>
    <w:rsid w:val="006358E7"/>
    <w:rsid w:val="00635F6A"/>
    <w:rsid w:val="00636C57"/>
    <w:rsid w:val="0064078D"/>
    <w:rsid w:val="006414E0"/>
    <w:rsid w:val="0064400F"/>
    <w:rsid w:val="0064493A"/>
    <w:rsid w:val="006452B6"/>
    <w:rsid w:val="0064733F"/>
    <w:rsid w:val="00651FFD"/>
    <w:rsid w:val="00656652"/>
    <w:rsid w:val="00660300"/>
    <w:rsid w:val="0066107E"/>
    <w:rsid w:val="00663D5D"/>
    <w:rsid w:val="00663F42"/>
    <w:rsid w:val="006657CA"/>
    <w:rsid w:val="00665AA8"/>
    <w:rsid w:val="00665B61"/>
    <w:rsid w:val="006660BC"/>
    <w:rsid w:val="00671542"/>
    <w:rsid w:val="00671AF5"/>
    <w:rsid w:val="00672A36"/>
    <w:rsid w:val="00672DE3"/>
    <w:rsid w:val="0067305B"/>
    <w:rsid w:val="006737C3"/>
    <w:rsid w:val="00674003"/>
    <w:rsid w:val="00675589"/>
    <w:rsid w:val="00675E59"/>
    <w:rsid w:val="00675F3B"/>
    <w:rsid w:val="0067786A"/>
    <w:rsid w:val="00680C12"/>
    <w:rsid w:val="006828B1"/>
    <w:rsid w:val="0068386D"/>
    <w:rsid w:val="00684F90"/>
    <w:rsid w:val="006861EE"/>
    <w:rsid w:val="006869D7"/>
    <w:rsid w:val="00691A17"/>
    <w:rsid w:val="006924C1"/>
    <w:rsid w:val="00693567"/>
    <w:rsid w:val="0069552F"/>
    <w:rsid w:val="006A2AAD"/>
    <w:rsid w:val="006A3924"/>
    <w:rsid w:val="006A54C9"/>
    <w:rsid w:val="006B00E5"/>
    <w:rsid w:val="006B0804"/>
    <w:rsid w:val="006B0F40"/>
    <w:rsid w:val="006B31A6"/>
    <w:rsid w:val="006B4651"/>
    <w:rsid w:val="006B518D"/>
    <w:rsid w:val="006B5605"/>
    <w:rsid w:val="006B57B7"/>
    <w:rsid w:val="006B62AD"/>
    <w:rsid w:val="006C21D5"/>
    <w:rsid w:val="006C3AE3"/>
    <w:rsid w:val="006C5FB2"/>
    <w:rsid w:val="006C607E"/>
    <w:rsid w:val="006C7A26"/>
    <w:rsid w:val="006D00E0"/>
    <w:rsid w:val="006D553C"/>
    <w:rsid w:val="006D5A1F"/>
    <w:rsid w:val="006D6446"/>
    <w:rsid w:val="006D7995"/>
    <w:rsid w:val="006E15B2"/>
    <w:rsid w:val="006E38D0"/>
    <w:rsid w:val="006E595C"/>
    <w:rsid w:val="006E7361"/>
    <w:rsid w:val="006E7EC1"/>
    <w:rsid w:val="006F01F5"/>
    <w:rsid w:val="006F054C"/>
    <w:rsid w:val="006F0DF9"/>
    <w:rsid w:val="006F2F82"/>
    <w:rsid w:val="006F3F78"/>
    <w:rsid w:val="00700436"/>
    <w:rsid w:val="00701806"/>
    <w:rsid w:val="00703968"/>
    <w:rsid w:val="00707056"/>
    <w:rsid w:val="007126DF"/>
    <w:rsid w:val="00714B08"/>
    <w:rsid w:val="0071630A"/>
    <w:rsid w:val="0071698E"/>
    <w:rsid w:val="0071712E"/>
    <w:rsid w:val="00721B56"/>
    <w:rsid w:val="00722DBD"/>
    <w:rsid w:val="0072460F"/>
    <w:rsid w:val="0072695F"/>
    <w:rsid w:val="00730346"/>
    <w:rsid w:val="00730F8D"/>
    <w:rsid w:val="00732616"/>
    <w:rsid w:val="00732B7C"/>
    <w:rsid w:val="0073737B"/>
    <w:rsid w:val="007418A9"/>
    <w:rsid w:val="007419D6"/>
    <w:rsid w:val="007425F0"/>
    <w:rsid w:val="007427B9"/>
    <w:rsid w:val="0074573E"/>
    <w:rsid w:val="00745AA8"/>
    <w:rsid w:val="00745E04"/>
    <w:rsid w:val="007506EA"/>
    <w:rsid w:val="00751957"/>
    <w:rsid w:val="007538D5"/>
    <w:rsid w:val="00753A8C"/>
    <w:rsid w:val="00754602"/>
    <w:rsid w:val="00754637"/>
    <w:rsid w:val="007578CD"/>
    <w:rsid w:val="00764617"/>
    <w:rsid w:val="007647FC"/>
    <w:rsid w:val="00764F5C"/>
    <w:rsid w:val="00765A80"/>
    <w:rsid w:val="007660F9"/>
    <w:rsid w:val="00767676"/>
    <w:rsid w:val="007703DB"/>
    <w:rsid w:val="0077125A"/>
    <w:rsid w:val="007716C5"/>
    <w:rsid w:val="0077289E"/>
    <w:rsid w:val="00772C01"/>
    <w:rsid w:val="00775094"/>
    <w:rsid w:val="00775509"/>
    <w:rsid w:val="0077584D"/>
    <w:rsid w:val="00775B82"/>
    <w:rsid w:val="0077644A"/>
    <w:rsid w:val="007802C4"/>
    <w:rsid w:val="00781621"/>
    <w:rsid w:val="007834B9"/>
    <w:rsid w:val="00784333"/>
    <w:rsid w:val="00785BBA"/>
    <w:rsid w:val="0079203D"/>
    <w:rsid w:val="00793E5C"/>
    <w:rsid w:val="00796136"/>
    <w:rsid w:val="00796F04"/>
    <w:rsid w:val="00797B47"/>
    <w:rsid w:val="007A166C"/>
    <w:rsid w:val="007A1A22"/>
    <w:rsid w:val="007A2946"/>
    <w:rsid w:val="007A4211"/>
    <w:rsid w:val="007A53DE"/>
    <w:rsid w:val="007A5CE2"/>
    <w:rsid w:val="007A6A16"/>
    <w:rsid w:val="007A707C"/>
    <w:rsid w:val="007A7D29"/>
    <w:rsid w:val="007A7E3B"/>
    <w:rsid w:val="007B0A52"/>
    <w:rsid w:val="007B151A"/>
    <w:rsid w:val="007B2133"/>
    <w:rsid w:val="007B237A"/>
    <w:rsid w:val="007B384E"/>
    <w:rsid w:val="007B7A90"/>
    <w:rsid w:val="007C127D"/>
    <w:rsid w:val="007C2051"/>
    <w:rsid w:val="007C5B16"/>
    <w:rsid w:val="007C6AF1"/>
    <w:rsid w:val="007D13C3"/>
    <w:rsid w:val="007D4AC5"/>
    <w:rsid w:val="007D6D8C"/>
    <w:rsid w:val="007D7364"/>
    <w:rsid w:val="007E083C"/>
    <w:rsid w:val="007E21F8"/>
    <w:rsid w:val="007E3A94"/>
    <w:rsid w:val="007E6776"/>
    <w:rsid w:val="007E69A2"/>
    <w:rsid w:val="007E7705"/>
    <w:rsid w:val="007E7AF1"/>
    <w:rsid w:val="007F0028"/>
    <w:rsid w:val="007F26CF"/>
    <w:rsid w:val="007F2A4D"/>
    <w:rsid w:val="007F2EC1"/>
    <w:rsid w:val="007F37D6"/>
    <w:rsid w:val="007F50AD"/>
    <w:rsid w:val="008011FB"/>
    <w:rsid w:val="00803AD5"/>
    <w:rsid w:val="00807A1B"/>
    <w:rsid w:val="0081300E"/>
    <w:rsid w:val="00813DE1"/>
    <w:rsid w:val="008141D7"/>
    <w:rsid w:val="00816F75"/>
    <w:rsid w:val="008174F5"/>
    <w:rsid w:val="00817561"/>
    <w:rsid w:val="00820FB6"/>
    <w:rsid w:val="00821672"/>
    <w:rsid w:val="0082308C"/>
    <w:rsid w:val="00823CC6"/>
    <w:rsid w:val="0082594D"/>
    <w:rsid w:val="00826E3E"/>
    <w:rsid w:val="00827F5F"/>
    <w:rsid w:val="00830456"/>
    <w:rsid w:val="008306D6"/>
    <w:rsid w:val="00830F07"/>
    <w:rsid w:val="00832CBE"/>
    <w:rsid w:val="008339D2"/>
    <w:rsid w:val="00840C66"/>
    <w:rsid w:val="008445BD"/>
    <w:rsid w:val="00845CD8"/>
    <w:rsid w:val="00846356"/>
    <w:rsid w:val="008471DA"/>
    <w:rsid w:val="00847FD2"/>
    <w:rsid w:val="00850296"/>
    <w:rsid w:val="00850BDE"/>
    <w:rsid w:val="00851750"/>
    <w:rsid w:val="0085196E"/>
    <w:rsid w:val="00852491"/>
    <w:rsid w:val="00852EAE"/>
    <w:rsid w:val="00853CAA"/>
    <w:rsid w:val="008617A5"/>
    <w:rsid w:val="008620B7"/>
    <w:rsid w:val="00863628"/>
    <w:rsid w:val="0086441C"/>
    <w:rsid w:val="00864557"/>
    <w:rsid w:val="00865B90"/>
    <w:rsid w:val="00866DDC"/>
    <w:rsid w:val="00867572"/>
    <w:rsid w:val="00867BA0"/>
    <w:rsid w:val="008705FF"/>
    <w:rsid w:val="008725E8"/>
    <w:rsid w:val="00873C5E"/>
    <w:rsid w:val="008744DC"/>
    <w:rsid w:val="00876E87"/>
    <w:rsid w:val="00877041"/>
    <w:rsid w:val="008800D0"/>
    <w:rsid w:val="008806C6"/>
    <w:rsid w:val="00880746"/>
    <w:rsid w:val="00881906"/>
    <w:rsid w:val="008824BB"/>
    <w:rsid w:val="00882E0B"/>
    <w:rsid w:val="00884E8E"/>
    <w:rsid w:val="008856FC"/>
    <w:rsid w:val="0088713D"/>
    <w:rsid w:val="008918F5"/>
    <w:rsid w:val="008949AB"/>
    <w:rsid w:val="008A25D1"/>
    <w:rsid w:val="008A2D5B"/>
    <w:rsid w:val="008A6351"/>
    <w:rsid w:val="008A7CD0"/>
    <w:rsid w:val="008B213E"/>
    <w:rsid w:val="008B2D9C"/>
    <w:rsid w:val="008B3C00"/>
    <w:rsid w:val="008B45E5"/>
    <w:rsid w:val="008B5632"/>
    <w:rsid w:val="008B6284"/>
    <w:rsid w:val="008B6563"/>
    <w:rsid w:val="008B6CF6"/>
    <w:rsid w:val="008B759C"/>
    <w:rsid w:val="008C2A41"/>
    <w:rsid w:val="008C4FDB"/>
    <w:rsid w:val="008C60B1"/>
    <w:rsid w:val="008C78E6"/>
    <w:rsid w:val="008D00EA"/>
    <w:rsid w:val="008D12F9"/>
    <w:rsid w:val="008D32A1"/>
    <w:rsid w:val="008D4E3D"/>
    <w:rsid w:val="008D5FD9"/>
    <w:rsid w:val="008D6284"/>
    <w:rsid w:val="008D6856"/>
    <w:rsid w:val="008D709F"/>
    <w:rsid w:val="008D77EB"/>
    <w:rsid w:val="008E2D15"/>
    <w:rsid w:val="008E3A08"/>
    <w:rsid w:val="008E3F68"/>
    <w:rsid w:val="008E5102"/>
    <w:rsid w:val="008E5346"/>
    <w:rsid w:val="008F1EB5"/>
    <w:rsid w:val="008F49DC"/>
    <w:rsid w:val="008F6F1C"/>
    <w:rsid w:val="008F77E4"/>
    <w:rsid w:val="008F7CB6"/>
    <w:rsid w:val="009012F6"/>
    <w:rsid w:val="00901677"/>
    <w:rsid w:val="009017BC"/>
    <w:rsid w:val="009036AD"/>
    <w:rsid w:val="00904C0A"/>
    <w:rsid w:val="00906ACE"/>
    <w:rsid w:val="0091257D"/>
    <w:rsid w:val="00914BB0"/>
    <w:rsid w:val="009151D6"/>
    <w:rsid w:val="00915FFA"/>
    <w:rsid w:val="00917CA4"/>
    <w:rsid w:val="00920FCF"/>
    <w:rsid w:val="00922DCD"/>
    <w:rsid w:val="00924EDD"/>
    <w:rsid w:val="00925376"/>
    <w:rsid w:val="00930B54"/>
    <w:rsid w:val="00932C57"/>
    <w:rsid w:val="00934C1C"/>
    <w:rsid w:val="0093601F"/>
    <w:rsid w:val="0093691E"/>
    <w:rsid w:val="009369E9"/>
    <w:rsid w:val="00941687"/>
    <w:rsid w:val="009456D8"/>
    <w:rsid w:val="00946201"/>
    <w:rsid w:val="00947204"/>
    <w:rsid w:val="0095144D"/>
    <w:rsid w:val="00951AF4"/>
    <w:rsid w:val="00951E98"/>
    <w:rsid w:val="0095349E"/>
    <w:rsid w:val="00953BBD"/>
    <w:rsid w:val="00953C06"/>
    <w:rsid w:val="00955A3F"/>
    <w:rsid w:val="00957DB5"/>
    <w:rsid w:val="0096118D"/>
    <w:rsid w:val="00962CA5"/>
    <w:rsid w:val="00962CCD"/>
    <w:rsid w:val="00963BEA"/>
    <w:rsid w:val="00963C82"/>
    <w:rsid w:val="00964724"/>
    <w:rsid w:val="009659E9"/>
    <w:rsid w:val="00965FC4"/>
    <w:rsid w:val="00970694"/>
    <w:rsid w:val="00972331"/>
    <w:rsid w:val="0097252C"/>
    <w:rsid w:val="00972AD1"/>
    <w:rsid w:val="00976367"/>
    <w:rsid w:val="009808D1"/>
    <w:rsid w:val="009809ED"/>
    <w:rsid w:val="00981252"/>
    <w:rsid w:val="00984603"/>
    <w:rsid w:val="00985233"/>
    <w:rsid w:val="00985CA7"/>
    <w:rsid w:val="00986896"/>
    <w:rsid w:val="00990AD5"/>
    <w:rsid w:val="00990E92"/>
    <w:rsid w:val="009915BE"/>
    <w:rsid w:val="0099314E"/>
    <w:rsid w:val="0099365F"/>
    <w:rsid w:val="009951E7"/>
    <w:rsid w:val="009A3A3E"/>
    <w:rsid w:val="009A4243"/>
    <w:rsid w:val="009B011D"/>
    <w:rsid w:val="009B08FA"/>
    <w:rsid w:val="009B2625"/>
    <w:rsid w:val="009B27C6"/>
    <w:rsid w:val="009B3942"/>
    <w:rsid w:val="009B4711"/>
    <w:rsid w:val="009B4756"/>
    <w:rsid w:val="009B5D36"/>
    <w:rsid w:val="009C084B"/>
    <w:rsid w:val="009C7575"/>
    <w:rsid w:val="009D0679"/>
    <w:rsid w:val="009D095C"/>
    <w:rsid w:val="009D38A2"/>
    <w:rsid w:val="009E3425"/>
    <w:rsid w:val="009E42A4"/>
    <w:rsid w:val="009E77EC"/>
    <w:rsid w:val="009F0772"/>
    <w:rsid w:val="009F0E08"/>
    <w:rsid w:val="009F0EC9"/>
    <w:rsid w:val="009F1581"/>
    <w:rsid w:val="009F555A"/>
    <w:rsid w:val="009F6D8C"/>
    <w:rsid w:val="009F76C8"/>
    <w:rsid w:val="00A03D56"/>
    <w:rsid w:val="00A03E52"/>
    <w:rsid w:val="00A045B6"/>
    <w:rsid w:val="00A0718A"/>
    <w:rsid w:val="00A12DB0"/>
    <w:rsid w:val="00A1473F"/>
    <w:rsid w:val="00A20237"/>
    <w:rsid w:val="00A21378"/>
    <w:rsid w:val="00A216BE"/>
    <w:rsid w:val="00A21C2F"/>
    <w:rsid w:val="00A232C1"/>
    <w:rsid w:val="00A252AB"/>
    <w:rsid w:val="00A25A80"/>
    <w:rsid w:val="00A25CFE"/>
    <w:rsid w:val="00A330A3"/>
    <w:rsid w:val="00A37188"/>
    <w:rsid w:val="00A428CA"/>
    <w:rsid w:val="00A438FC"/>
    <w:rsid w:val="00A44FA8"/>
    <w:rsid w:val="00A46093"/>
    <w:rsid w:val="00A47366"/>
    <w:rsid w:val="00A50479"/>
    <w:rsid w:val="00A50C5A"/>
    <w:rsid w:val="00A50D35"/>
    <w:rsid w:val="00A54C64"/>
    <w:rsid w:val="00A55776"/>
    <w:rsid w:val="00A56248"/>
    <w:rsid w:val="00A57499"/>
    <w:rsid w:val="00A577DF"/>
    <w:rsid w:val="00A601CA"/>
    <w:rsid w:val="00A64390"/>
    <w:rsid w:val="00A655F5"/>
    <w:rsid w:val="00A65940"/>
    <w:rsid w:val="00A6715E"/>
    <w:rsid w:val="00A706FD"/>
    <w:rsid w:val="00A7171C"/>
    <w:rsid w:val="00A7236F"/>
    <w:rsid w:val="00A74297"/>
    <w:rsid w:val="00A75FD0"/>
    <w:rsid w:val="00A77F62"/>
    <w:rsid w:val="00A801A9"/>
    <w:rsid w:val="00A82276"/>
    <w:rsid w:val="00A822E2"/>
    <w:rsid w:val="00A840A3"/>
    <w:rsid w:val="00A868BA"/>
    <w:rsid w:val="00A86F26"/>
    <w:rsid w:val="00A91E93"/>
    <w:rsid w:val="00A92C7C"/>
    <w:rsid w:val="00A92CBB"/>
    <w:rsid w:val="00A93C6C"/>
    <w:rsid w:val="00A94B2B"/>
    <w:rsid w:val="00A96327"/>
    <w:rsid w:val="00A974CD"/>
    <w:rsid w:val="00AA0360"/>
    <w:rsid w:val="00AA132A"/>
    <w:rsid w:val="00AA24CF"/>
    <w:rsid w:val="00AA3D91"/>
    <w:rsid w:val="00AA5254"/>
    <w:rsid w:val="00AB1005"/>
    <w:rsid w:val="00AB17F0"/>
    <w:rsid w:val="00AB251D"/>
    <w:rsid w:val="00AB3742"/>
    <w:rsid w:val="00AB4034"/>
    <w:rsid w:val="00AB4617"/>
    <w:rsid w:val="00AB6A6D"/>
    <w:rsid w:val="00AB715E"/>
    <w:rsid w:val="00AB7F4C"/>
    <w:rsid w:val="00AC3216"/>
    <w:rsid w:val="00AC4BFC"/>
    <w:rsid w:val="00AC4CF0"/>
    <w:rsid w:val="00AC5DB0"/>
    <w:rsid w:val="00AC6670"/>
    <w:rsid w:val="00AD167B"/>
    <w:rsid w:val="00AD3B2C"/>
    <w:rsid w:val="00AD3BAD"/>
    <w:rsid w:val="00AD4251"/>
    <w:rsid w:val="00AD7205"/>
    <w:rsid w:val="00AE50D5"/>
    <w:rsid w:val="00AE53E0"/>
    <w:rsid w:val="00AE595A"/>
    <w:rsid w:val="00AE5BF1"/>
    <w:rsid w:val="00AF13B5"/>
    <w:rsid w:val="00AF393D"/>
    <w:rsid w:val="00AF74C8"/>
    <w:rsid w:val="00B003EA"/>
    <w:rsid w:val="00B033B7"/>
    <w:rsid w:val="00B03BCA"/>
    <w:rsid w:val="00B04709"/>
    <w:rsid w:val="00B05F28"/>
    <w:rsid w:val="00B10986"/>
    <w:rsid w:val="00B10DA2"/>
    <w:rsid w:val="00B113D6"/>
    <w:rsid w:val="00B1473F"/>
    <w:rsid w:val="00B1749E"/>
    <w:rsid w:val="00B20D10"/>
    <w:rsid w:val="00B23465"/>
    <w:rsid w:val="00B23868"/>
    <w:rsid w:val="00B238F8"/>
    <w:rsid w:val="00B23E9E"/>
    <w:rsid w:val="00B245D1"/>
    <w:rsid w:val="00B26BBD"/>
    <w:rsid w:val="00B26DB0"/>
    <w:rsid w:val="00B3213C"/>
    <w:rsid w:val="00B346BE"/>
    <w:rsid w:val="00B36B96"/>
    <w:rsid w:val="00B4004A"/>
    <w:rsid w:val="00B423BE"/>
    <w:rsid w:val="00B42767"/>
    <w:rsid w:val="00B43D07"/>
    <w:rsid w:val="00B47FAB"/>
    <w:rsid w:val="00B504AD"/>
    <w:rsid w:val="00B519EB"/>
    <w:rsid w:val="00B5279E"/>
    <w:rsid w:val="00B5280E"/>
    <w:rsid w:val="00B55BDB"/>
    <w:rsid w:val="00B56448"/>
    <w:rsid w:val="00B60094"/>
    <w:rsid w:val="00B61844"/>
    <w:rsid w:val="00B624DB"/>
    <w:rsid w:val="00B62845"/>
    <w:rsid w:val="00B62E45"/>
    <w:rsid w:val="00B63540"/>
    <w:rsid w:val="00B637E5"/>
    <w:rsid w:val="00B65213"/>
    <w:rsid w:val="00B661BE"/>
    <w:rsid w:val="00B665DB"/>
    <w:rsid w:val="00B66AE3"/>
    <w:rsid w:val="00B67AD8"/>
    <w:rsid w:val="00B701ED"/>
    <w:rsid w:val="00B702DD"/>
    <w:rsid w:val="00B745D3"/>
    <w:rsid w:val="00B7546E"/>
    <w:rsid w:val="00B759AE"/>
    <w:rsid w:val="00B75F1A"/>
    <w:rsid w:val="00B769A2"/>
    <w:rsid w:val="00B805BD"/>
    <w:rsid w:val="00B82B93"/>
    <w:rsid w:val="00B84458"/>
    <w:rsid w:val="00B85571"/>
    <w:rsid w:val="00B8570B"/>
    <w:rsid w:val="00B8765A"/>
    <w:rsid w:val="00B90732"/>
    <w:rsid w:val="00B94525"/>
    <w:rsid w:val="00B957AD"/>
    <w:rsid w:val="00B961EF"/>
    <w:rsid w:val="00B97335"/>
    <w:rsid w:val="00B9745B"/>
    <w:rsid w:val="00B97C3F"/>
    <w:rsid w:val="00BA179F"/>
    <w:rsid w:val="00BA1F52"/>
    <w:rsid w:val="00BA21E9"/>
    <w:rsid w:val="00BA2B2F"/>
    <w:rsid w:val="00BA4613"/>
    <w:rsid w:val="00BA55EF"/>
    <w:rsid w:val="00BA5969"/>
    <w:rsid w:val="00BA741B"/>
    <w:rsid w:val="00BA758E"/>
    <w:rsid w:val="00BA799B"/>
    <w:rsid w:val="00BA79D2"/>
    <w:rsid w:val="00BB176C"/>
    <w:rsid w:val="00BB25A8"/>
    <w:rsid w:val="00BB2E5C"/>
    <w:rsid w:val="00BB3CD8"/>
    <w:rsid w:val="00BB3FB7"/>
    <w:rsid w:val="00BB54EB"/>
    <w:rsid w:val="00BB7D48"/>
    <w:rsid w:val="00BC16A2"/>
    <w:rsid w:val="00BC1C12"/>
    <w:rsid w:val="00BC6CEB"/>
    <w:rsid w:val="00BC74B4"/>
    <w:rsid w:val="00BD09CC"/>
    <w:rsid w:val="00BD1CEC"/>
    <w:rsid w:val="00BD64D0"/>
    <w:rsid w:val="00BD6EAF"/>
    <w:rsid w:val="00BE1647"/>
    <w:rsid w:val="00BE1A3E"/>
    <w:rsid w:val="00BE37D4"/>
    <w:rsid w:val="00BE739F"/>
    <w:rsid w:val="00BE76BB"/>
    <w:rsid w:val="00BF027D"/>
    <w:rsid w:val="00BF1609"/>
    <w:rsid w:val="00BF2A79"/>
    <w:rsid w:val="00BF2E1D"/>
    <w:rsid w:val="00BF3FEF"/>
    <w:rsid w:val="00BF46AE"/>
    <w:rsid w:val="00BF4F1A"/>
    <w:rsid w:val="00BF507B"/>
    <w:rsid w:val="00BF5C9D"/>
    <w:rsid w:val="00C0093A"/>
    <w:rsid w:val="00C03640"/>
    <w:rsid w:val="00C03799"/>
    <w:rsid w:val="00C04262"/>
    <w:rsid w:val="00C06A95"/>
    <w:rsid w:val="00C0749C"/>
    <w:rsid w:val="00C10997"/>
    <w:rsid w:val="00C1112A"/>
    <w:rsid w:val="00C11488"/>
    <w:rsid w:val="00C11C25"/>
    <w:rsid w:val="00C13578"/>
    <w:rsid w:val="00C13AF4"/>
    <w:rsid w:val="00C13B8D"/>
    <w:rsid w:val="00C13F53"/>
    <w:rsid w:val="00C14AC7"/>
    <w:rsid w:val="00C16889"/>
    <w:rsid w:val="00C228E9"/>
    <w:rsid w:val="00C234D0"/>
    <w:rsid w:val="00C27652"/>
    <w:rsid w:val="00C276EF"/>
    <w:rsid w:val="00C3230C"/>
    <w:rsid w:val="00C36257"/>
    <w:rsid w:val="00C41A1F"/>
    <w:rsid w:val="00C42638"/>
    <w:rsid w:val="00C42D1E"/>
    <w:rsid w:val="00C46117"/>
    <w:rsid w:val="00C467CA"/>
    <w:rsid w:val="00C468B6"/>
    <w:rsid w:val="00C46F8E"/>
    <w:rsid w:val="00C57505"/>
    <w:rsid w:val="00C57DDE"/>
    <w:rsid w:val="00C6040F"/>
    <w:rsid w:val="00C61205"/>
    <w:rsid w:val="00C646FD"/>
    <w:rsid w:val="00C66F78"/>
    <w:rsid w:val="00C67F2F"/>
    <w:rsid w:val="00C70016"/>
    <w:rsid w:val="00C71B37"/>
    <w:rsid w:val="00C725BD"/>
    <w:rsid w:val="00C737FA"/>
    <w:rsid w:val="00C73A0E"/>
    <w:rsid w:val="00C744CE"/>
    <w:rsid w:val="00C75C7F"/>
    <w:rsid w:val="00C75E0B"/>
    <w:rsid w:val="00C838D0"/>
    <w:rsid w:val="00C84691"/>
    <w:rsid w:val="00C846DA"/>
    <w:rsid w:val="00C84B4C"/>
    <w:rsid w:val="00C84C66"/>
    <w:rsid w:val="00C86C58"/>
    <w:rsid w:val="00C8700E"/>
    <w:rsid w:val="00C87E08"/>
    <w:rsid w:val="00C91E58"/>
    <w:rsid w:val="00C91F0C"/>
    <w:rsid w:val="00C92261"/>
    <w:rsid w:val="00C922BB"/>
    <w:rsid w:val="00CA0BD2"/>
    <w:rsid w:val="00CA0CEA"/>
    <w:rsid w:val="00CA2596"/>
    <w:rsid w:val="00CB1DCE"/>
    <w:rsid w:val="00CB2706"/>
    <w:rsid w:val="00CB2A14"/>
    <w:rsid w:val="00CB3C76"/>
    <w:rsid w:val="00CB4B59"/>
    <w:rsid w:val="00CB4C14"/>
    <w:rsid w:val="00CB7135"/>
    <w:rsid w:val="00CB74F4"/>
    <w:rsid w:val="00CC0B08"/>
    <w:rsid w:val="00CC0C49"/>
    <w:rsid w:val="00CC25A4"/>
    <w:rsid w:val="00CC5850"/>
    <w:rsid w:val="00CC6601"/>
    <w:rsid w:val="00CD1971"/>
    <w:rsid w:val="00CD2E5F"/>
    <w:rsid w:val="00CD40F8"/>
    <w:rsid w:val="00CD6334"/>
    <w:rsid w:val="00CD7507"/>
    <w:rsid w:val="00CE1A78"/>
    <w:rsid w:val="00CE2799"/>
    <w:rsid w:val="00CE2E69"/>
    <w:rsid w:val="00CE3673"/>
    <w:rsid w:val="00CE69CA"/>
    <w:rsid w:val="00CE7241"/>
    <w:rsid w:val="00CE7A52"/>
    <w:rsid w:val="00CE7D18"/>
    <w:rsid w:val="00CE7FCC"/>
    <w:rsid w:val="00CF00B1"/>
    <w:rsid w:val="00CF05CA"/>
    <w:rsid w:val="00CF0D8E"/>
    <w:rsid w:val="00CF2CA0"/>
    <w:rsid w:val="00CF35D9"/>
    <w:rsid w:val="00CF3A2E"/>
    <w:rsid w:val="00CF4DAC"/>
    <w:rsid w:val="00CF5C68"/>
    <w:rsid w:val="00CF7C06"/>
    <w:rsid w:val="00D0309E"/>
    <w:rsid w:val="00D03FF5"/>
    <w:rsid w:val="00D0598E"/>
    <w:rsid w:val="00D05E91"/>
    <w:rsid w:val="00D10F91"/>
    <w:rsid w:val="00D1204F"/>
    <w:rsid w:val="00D12E48"/>
    <w:rsid w:val="00D1567B"/>
    <w:rsid w:val="00D170AF"/>
    <w:rsid w:val="00D209D1"/>
    <w:rsid w:val="00D2707C"/>
    <w:rsid w:val="00D271C8"/>
    <w:rsid w:val="00D31054"/>
    <w:rsid w:val="00D31B3C"/>
    <w:rsid w:val="00D31C98"/>
    <w:rsid w:val="00D34B3F"/>
    <w:rsid w:val="00D36684"/>
    <w:rsid w:val="00D41071"/>
    <w:rsid w:val="00D4136C"/>
    <w:rsid w:val="00D45BA2"/>
    <w:rsid w:val="00D472FF"/>
    <w:rsid w:val="00D47659"/>
    <w:rsid w:val="00D50CFA"/>
    <w:rsid w:val="00D50ED9"/>
    <w:rsid w:val="00D51074"/>
    <w:rsid w:val="00D5275C"/>
    <w:rsid w:val="00D53A58"/>
    <w:rsid w:val="00D543F1"/>
    <w:rsid w:val="00D547F6"/>
    <w:rsid w:val="00D60BA0"/>
    <w:rsid w:val="00D615C5"/>
    <w:rsid w:val="00D622B5"/>
    <w:rsid w:val="00D635A0"/>
    <w:rsid w:val="00D638A2"/>
    <w:rsid w:val="00D641D8"/>
    <w:rsid w:val="00D664D9"/>
    <w:rsid w:val="00D7040A"/>
    <w:rsid w:val="00D7151E"/>
    <w:rsid w:val="00D71F87"/>
    <w:rsid w:val="00D72B1B"/>
    <w:rsid w:val="00D73458"/>
    <w:rsid w:val="00D73941"/>
    <w:rsid w:val="00D7682F"/>
    <w:rsid w:val="00D7685C"/>
    <w:rsid w:val="00D779B6"/>
    <w:rsid w:val="00D77FFD"/>
    <w:rsid w:val="00D82F73"/>
    <w:rsid w:val="00D85ABC"/>
    <w:rsid w:val="00D875F9"/>
    <w:rsid w:val="00D91FDE"/>
    <w:rsid w:val="00D93CA9"/>
    <w:rsid w:val="00D95EDB"/>
    <w:rsid w:val="00D96085"/>
    <w:rsid w:val="00D96436"/>
    <w:rsid w:val="00D96DAB"/>
    <w:rsid w:val="00DA2392"/>
    <w:rsid w:val="00DA3AB9"/>
    <w:rsid w:val="00DB1564"/>
    <w:rsid w:val="00DB24C6"/>
    <w:rsid w:val="00DB36BB"/>
    <w:rsid w:val="00DB5BE8"/>
    <w:rsid w:val="00DB7EC4"/>
    <w:rsid w:val="00DC04D7"/>
    <w:rsid w:val="00DC19D4"/>
    <w:rsid w:val="00DC2096"/>
    <w:rsid w:val="00DC5948"/>
    <w:rsid w:val="00DC5B87"/>
    <w:rsid w:val="00DC6003"/>
    <w:rsid w:val="00DC75D7"/>
    <w:rsid w:val="00DD15C8"/>
    <w:rsid w:val="00DD2B0B"/>
    <w:rsid w:val="00DD2C7B"/>
    <w:rsid w:val="00DD3797"/>
    <w:rsid w:val="00DD42B1"/>
    <w:rsid w:val="00DD4621"/>
    <w:rsid w:val="00DD4706"/>
    <w:rsid w:val="00DD519D"/>
    <w:rsid w:val="00DD5549"/>
    <w:rsid w:val="00DE4EEB"/>
    <w:rsid w:val="00DE51FD"/>
    <w:rsid w:val="00DE57E3"/>
    <w:rsid w:val="00DF1AC6"/>
    <w:rsid w:val="00E009B4"/>
    <w:rsid w:val="00E019A8"/>
    <w:rsid w:val="00E030C0"/>
    <w:rsid w:val="00E03F9B"/>
    <w:rsid w:val="00E053F3"/>
    <w:rsid w:val="00E07C37"/>
    <w:rsid w:val="00E138C0"/>
    <w:rsid w:val="00E15FBE"/>
    <w:rsid w:val="00E21028"/>
    <w:rsid w:val="00E2282F"/>
    <w:rsid w:val="00E22DA3"/>
    <w:rsid w:val="00E2535B"/>
    <w:rsid w:val="00E25570"/>
    <w:rsid w:val="00E30AEF"/>
    <w:rsid w:val="00E316DF"/>
    <w:rsid w:val="00E31F1F"/>
    <w:rsid w:val="00E3421A"/>
    <w:rsid w:val="00E34551"/>
    <w:rsid w:val="00E34C6F"/>
    <w:rsid w:val="00E352E4"/>
    <w:rsid w:val="00E412B9"/>
    <w:rsid w:val="00E41665"/>
    <w:rsid w:val="00E45C44"/>
    <w:rsid w:val="00E45E62"/>
    <w:rsid w:val="00E4601E"/>
    <w:rsid w:val="00E466EB"/>
    <w:rsid w:val="00E46ECC"/>
    <w:rsid w:val="00E500C7"/>
    <w:rsid w:val="00E51B89"/>
    <w:rsid w:val="00E540E7"/>
    <w:rsid w:val="00E5450E"/>
    <w:rsid w:val="00E55926"/>
    <w:rsid w:val="00E55A6C"/>
    <w:rsid w:val="00E55EFA"/>
    <w:rsid w:val="00E56214"/>
    <w:rsid w:val="00E56E87"/>
    <w:rsid w:val="00E57BDF"/>
    <w:rsid w:val="00E6222A"/>
    <w:rsid w:val="00E634DE"/>
    <w:rsid w:val="00E64E81"/>
    <w:rsid w:val="00E67069"/>
    <w:rsid w:val="00E70516"/>
    <w:rsid w:val="00E71C02"/>
    <w:rsid w:val="00E71C89"/>
    <w:rsid w:val="00E73000"/>
    <w:rsid w:val="00E73045"/>
    <w:rsid w:val="00E74AC3"/>
    <w:rsid w:val="00E77E48"/>
    <w:rsid w:val="00E80967"/>
    <w:rsid w:val="00E83925"/>
    <w:rsid w:val="00E86CEF"/>
    <w:rsid w:val="00E9326C"/>
    <w:rsid w:val="00E93AC5"/>
    <w:rsid w:val="00E94ECD"/>
    <w:rsid w:val="00E96996"/>
    <w:rsid w:val="00EA0C36"/>
    <w:rsid w:val="00EA49AD"/>
    <w:rsid w:val="00EA5887"/>
    <w:rsid w:val="00EA5932"/>
    <w:rsid w:val="00EA5B7B"/>
    <w:rsid w:val="00EA6774"/>
    <w:rsid w:val="00EA6E22"/>
    <w:rsid w:val="00EA7C96"/>
    <w:rsid w:val="00EB00B4"/>
    <w:rsid w:val="00EB1BF3"/>
    <w:rsid w:val="00EB2693"/>
    <w:rsid w:val="00EB37CB"/>
    <w:rsid w:val="00EB7157"/>
    <w:rsid w:val="00EB7894"/>
    <w:rsid w:val="00EC0F2D"/>
    <w:rsid w:val="00EC40D7"/>
    <w:rsid w:val="00EC5063"/>
    <w:rsid w:val="00EC6602"/>
    <w:rsid w:val="00EC6773"/>
    <w:rsid w:val="00EC7879"/>
    <w:rsid w:val="00ED0A7B"/>
    <w:rsid w:val="00ED0F1D"/>
    <w:rsid w:val="00ED153A"/>
    <w:rsid w:val="00ED235C"/>
    <w:rsid w:val="00ED3198"/>
    <w:rsid w:val="00EE1677"/>
    <w:rsid w:val="00EE291A"/>
    <w:rsid w:val="00EE40BD"/>
    <w:rsid w:val="00EE42D3"/>
    <w:rsid w:val="00EE5439"/>
    <w:rsid w:val="00EE6387"/>
    <w:rsid w:val="00EE63BF"/>
    <w:rsid w:val="00EE6D98"/>
    <w:rsid w:val="00EE7217"/>
    <w:rsid w:val="00EF48F0"/>
    <w:rsid w:val="00EF491D"/>
    <w:rsid w:val="00EF5856"/>
    <w:rsid w:val="00EF679F"/>
    <w:rsid w:val="00EF71A5"/>
    <w:rsid w:val="00F01ED6"/>
    <w:rsid w:val="00F029D0"/>
    <w:rsid w:val="00F05B23"/>
    <w:rsid w:val="00F06E6C"/>
    <w:rsid w:val="00F0751D"/>
    <w:rsid w:val="00F11F07"/>
    <w:rsid w:val="00F155D6"/>
    <w:rsid w:val="00F1612F"/>
    <w:rsid w:val="00F16A02"/>
    <w:rsid w:val="00F171FA"/>
    <w:rsid w:val="00F2135F"/>
    <w:rsid w:val="00F214D8"/>
    <w:rsid w:val="00F230E8"/>
    <w:rsid w:val="00F23A8D"/>
    <w:rsid w:val="00F23AF3"/>
    <w:rsid w:val="00F246C1"/>
    <w:rsid w:val="00F2471B"/>
    <w:rsid w:val="00F27354"/>
    <w:rsid w:val="00F27628"/>
    <w:rsid w:val="00F30DFC"/>
    <w:rsid w:val="00F3128F"/>
    <w:rsid w:val="00F31929"/>
    <w:rsid w:val="00F33F0E"/>
    <w:rsid w:val="00F3453F"/>
    <w:rsid w:val="00F3572F"/>
    <w:rsid w:val="00F358E2"/>
    <w:rsid w:val="00F37495"/>
    <w:rsid w:val="00F43909"/>
    <w:rsid w:val="00F441C9"/>
    <w:rsid w:val="00F4459F"/>
    <w:rsid w:val="00F50C09"/>
    <w:rsid w:val="00F50C3C"/>
    <w:rsid w:val="00F50E68"/>
    <w:rsid w:val="00F51205"/>
    <w:rsid w:val="00F515B3"/>
    <w:rsid w:val="00F57630"/>
    <w:rsid w:val="00F57D56"/>
    <w:rsid w:val="00F63951"/>
    <w:rsid w:val="00F656D7"/>
    <w:rsid w:val="00F65E5D"/>
    <w:rsid w:val="00F71B59"/>
    <w:rsid w:val="00F71BBF"/>
    <w:rsid w:val="00F7233C"/>
    <w:rsid w:val="00F773F7"/>
    <w:rsid w:val="00F803A8"/>
    <w:rsid w:val="00F818D9"/>
    <w:rsid w:val="00F84242"/>
    <w:rsid w:val="00F85612"/>
    <w:rsid w:val="00F91FFC"/>
    <w:rsid w:val="00F93D72"/>
    <w:rsid w:val="00F94F80"/>
    <w:rsid w:val="00F961F7"/>
    <w:rsid w:val="00F973BF"/>
    <w:rsid w:val="00FA03C0"/>
    <w:rsid w:val="00FA0B71"/>
    <w:rsid w:val="00FA4117"/>
    <w:rsid w:val="00FA4271"/>
    <w:rsid w:val="00FA48B7"/>
    <w:rsid w:val="00FA75CD"/>
    <w:rsid w:val="00FA7AED"/>
    <w:rsid w:val="00FB0F11"/>
    <w:rsid w:val="00FB1F06"/>
    <w:rsid w:val="00FB442E"/>
    <w:rsid w:val="00FB51A0"/>
    <w:rsid w:val="00FB591C"/>
    <w:rsid w:val="00FB66D1"/>
    <w:rsid w:val="00FB697D"/>
    <w:rsid w:val="00FB7520"/>
    <w:rsid w:val="00FC286A"/>
    <w:rsid w:val="00FC5BE5"/>
    <w:rsid w:val="00FC5CE9"/>
    <w:rsid w:val="00FC699E"/>
    <w:rsid w:val="00FD0711"/>
    <w:rsid w:val="00FD16F5"/>
    <w:rsid w:val="00FD198E"/>
    <w:rsid w:val="00FD1B34"/>
    <w:rsid w:val="00FD2B50"/>
    <w:rsid w:val="00FD30FB"/>
    <w:rsid w:val="00FD37D3"/>
    <w:rsid w:val="00FD3CE8"/>
    <w:rsid w:val="00FD71BE"/>
    <w:rsid w:val="00FD7D4F"/>
    <w:rsid w:val="00FE1B47"/>
    <w:rsid w:val="00FE2E2D"/>
    <w:rsid w:val="00FE3F5C"/>
    <w:rsid w:val="00FE42B0"/>
    <w:rsid w:val="00FE58A3"/>
    <w:rsid w:val="00FE5ED2"/>
    <w:rsid w:val="00FE6509"/>
    <w:rsid w:val="00FE7901"/>
    <w:rsid w:val="00FF094F"/>
    <w:rsid w:val="00FF2032"/>
    <w:rsid w:val="00FF20F2"/>
    <w:rsid w:val="00FF283A"/>
    <w:rsid w:val="00FF5D71"/>
    <w:rsid w:val="00FF63D0"/>
    <w:rsid w:val="00FF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91D0"/>
  <w15:chartTrackingRefBased/>
  <w15:docId w15:val="{69AB4094-C79E-466C-B0B0-176ECABE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F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0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7127"/>
    <w:pPr>
      <w:ind w:left="720"/>
      <w:contextualSpacing/>
    </w:pPr>
  </w:style>
  <w:style w:type="character" w:styleId="CommentReference">
    <w:name w:val="annotation reference"/>
    <w:basedOn w:val="DefaultParagraphFont"/>
    <w:uiPriority w:val="99"/>
    <w:semiHidden/>
    <w:unhideWhenUsed/>
    <w:rsid w:val="00A7171C"/>
    <w:rPr>
      <w:sz w:val="16"/>
      <w:szCs w:val="16"/>
    </w:rPr>
  </w:style>
  <w:style w:type="paragraph" w:styleId="CommentText">
    <w:name w:val="annotation text"/>
    <w:basedOn w:val="Normal"/>
    <w:link w:val="CommentTextChar"/>
    <w:uiPriority w:val="99"/>
    <w:unhideWhenUsed/>
    <w:rsid w:val="00A7171C"/>
    <w:rPr>
      <w:sz w:val="20"/>
      <w:szCs w:val="20"/>
    </w:rPr>
  </w:style>
  <w:style w:type="character" w:customStyle="1" w:styleId="CommentTextChar">
    <w:name w:val="Comment Text Char"/>
    <w:basedOn w:val="DefaultParagraphFont"/>
    <w:link w:val="CommentText"/>
    <w:uiPriority w:val="99"/>
    <w:rsid w:val="00A7171C"/>
    <w:rPr>
      <w:sz w:val="20"/>
      <w:szCs w:val="20"/>
    </w:rPr>
  </w:style>
  <w:style w:type="paragraph" w:styleId="CommentSubject">
    <w:name w:val="annotation subject"/>
    <w:basedOn w:val="CommentText"/>
    <w:next w:val="CommentText"/>
    <w:link w:val="CommentSubjectChar"/>
    <w:uiPriority w:val="99"/>
    <w:semiHidden/>
    <w:unhideWhenUsed/>
    <w:rsid w:val="00A7171C"/>
    <w:rPr>
      <w:b/>
      <w:bCs/>
    </w:rPr>
  </w:style>
  <w:style w:type="character" w:customStyle="1" w:styleId="CommentSubjectChar">
    <w:name w:val="Comment Subject Char"/>
    <w:basedOn w:val="CommentTextChar"/>
    <w:link w:val="CommentSubject"/>
    <w:uiPriority w:val="99"/>
    <w:semiHidden/>
    <w:rsid w:val="00A7171C"/>
    <w:rPr>
      <w:b/>
      <w:bCs/>
      <w:sz w:val="20"/>
      <w:szCs w:val="20"/>
    </w:rPr>
  </w:style>
  <w:style w:type="paragraph" w:styleId="BalloonText">
    <w:name w:val="Balloon Text"/>
    <w:basedOn w:val="Normal"/>
    <w:link w:val="BalloonTextChar"/>
    <w:uiPriority w:val="99"/>
    <w:semiHidden/>
    <w:unhideWhenUsed/>
    <w:rsid w:val="00A717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71C"/>
    <w:rPr>
      <w:rFonts w:ascii="Segoe UI" w:hAnsi="Segoe UI" w:cs="Segoe UI"/>
      <w:sz w:val="18"/>
      <w:szCs w:val="18"/>
    </w:rPr>
  </w:style>
  <w:style w:type="paragraph" w:styleId="Header">
    <w:name w:val="header"/>
    <w:basedOn w:val="Normal"/>
    <w:link w:val="HeaderChar"/>
    <w:uiPriority w:val="99"/>
    <w:unhideWhenUsed/>
    <w:rsid w:val="00A7171C"/>
    <w:pPr>
      <w:tabs>
        <w:tab w:val="center" w:pos="4680"/>
        <w:tab w:val="right" w:pos="9360"/>
      </w:tabs>
    </w:pPr>
  </w:style>
  <w:style w:type="character" w:customStyle="1" w:styleId="HeaderChar">
    <w:name w:val="Header Char"/>
    <w:basedOn w:val="DefaultParagraphFont"/>
    <w:link w:val="Header"/>
    <w:uiPriority w:val="99"/>
    <w:rsid w:val="00A7171C"/>
  </w:style>
  <w:style w:type="paragraph" w:styleId="Footer">
    <w:name w:val="footer"/>
    <w:basedOn w:val="Normal"/>
    <w:link w:val="FooterChar"/>
    <w:uiPriority w:val="99"/>
    <w:unhideWhenUsed/>
    <w:rsid w:val="00A7171C"/>
    <w:pPr>
      <w:tabs>
        <w:tab w:val="center" w:pos="4680"/>
        <w:tab w:val="right" w:pos="9360"/>
      </w:tabs>
    </w:pPr>
  </w:style>
  <w:style w:type="character" w:customStyle="1" w:styleId="FooterChar">
    <w:name w:val="Footer Char"/>
    <w:basedOn w:val="DefaultParagraphFont"/>
    <w:link w:val="Footer"/>
    <w:uiPriority w:val="99"/>
    <w:rsid w:val="00A7171C"/>
  </w:style>
  <w:style w:type="paragraph" w:styleId="Revision">
    <w:name w:val="Revision"/>
    <w:hidden/>
    <w:uiPriority w:val="99"/>
    <w:semiHidden/>
    <w:rsid w:val="00DA2392"/>
  </w:style>
  <w:style w:type="paragraph" w:styleId="FootnoteText">
    <w:name w:val="footnote text"/>
    <w:basedOn w:val="Normal"/>
    <w:link w:val="FootnoteTextChar"/>
    <w:uiPriority w:val="99"/>
    <w:semiHidden/>
    <w:unhideWhenUsed/>
    <w:rsid w:val="00DD4706"/>
    <w:rPr>
      <w:sz w:val="20"/>
      <w:szCs w:val="20"/>
    </w:rPr>
  </w:style>
  <w:style w:type="character" w:customStyle="1" w:styleId="FootnoteTextChar">
    <w:name w:val="Footnote Text Char"/>
    <w:basedOn w:val="DefaultParagraphFont"/>
    <w:link w:val="FootnoteText"/>
    <w:uiPriority w:val="99"/>
    <w:semiHidden/>
    <w:rsid w:val="00DD4706"/>
    <w:rPr>
      <w:sz w:val="20"/>
      <w:szCs w:val="20"/>
    </w:rPr>
  </w:style>
  <w:style w:type="character" w:styleId="FootnoteReference">
    <w:name w:val="footnote reference"/>
    <w:basedOn w:val="DefaultParagraphFont"/>
    <w:uiPriority w:val="99"/>
    <w:semiHidden/>
    <w:unhideWhenUsed/>
    <w:rsid w:val="00DD4706"/>
    <w:rPr>
      <w:vertAlign w:val="superscript"/>
    </w:rPr>
  </w:style>
  <w:style w:type="character" w:styleId="Hyperlink">
    <w:name w:val="Hyperlink"/>
    <w:basedOn w:val="DefaultParagraphFont"/>
    <w:uiPriority w:val="99"/>
    <w:unhideWhenUsed/>
    <w:rsid w:val="00AD7205"/>
    <w:rPr>
      <w:color w:val="0563C1" w:themeColor="hyperlink"/>
      <w:u w:val="single"/>
    </w:rPr>
  </w:style>
  <w:style w:type="character" w:styleId="UnresolvedMention">
    <w:name w:val="Unresolved Mention"/>
    <w:basedOn w:val="DefaultParagraphFont"/>
    <w:uiPriority w:val="99"/>
    <w:semiHidden/>
    <w:unhideWhenUsed/>
    <w:rsid w:val="00AD7205"/>
    <w:rPr>
      <w:color w:val="605E5C"/>
      <w:shd w:val="clear" w:color="auto" w:fill="E1DFDD"/>
    </w:rPr>
  </w:style>
  <w:style w:type="character" w:styleId="FollowedHyperlink">
    <w:name w:val="FollowedHyperlink"/>
    <w:basedOn w:val="DefaultParagraphFont"/>
    <w:uiPriority w:val="99"/>
    <w:semiHidden/>
    <w:unhideWhenUsed/>
    <w:rsid w:val="00A77F6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049217">
      <w:bodyDiv w:val="1"/>
      <w:marLeft w:val="0"/>
      <w:marRight w:val="0"/>
      <w:marTop w:val="0"/>
      <w:marBottom w:val="0"/>
      <w:divBdr>
        <w:top w:val="none" w:sz="0" w:space="0" w:color="auto"/>
        <w:left w:val="none" w:sz="0" w:space="0" w:color="auto"/>
        <w:bottom w:val="none" w:sz="0" w:space="0" w:color="auto"/>
        <w:right w:val="none" w:sz="0" w:space="0" w:color="auto"/>
      </w:divBdr>
      <w:divsChild>
        <w:div w:id="770785813">
          <w:marLeft w:val="0"/>
          <w:marRight w:val="0"/>
          <w:marTop w:val="0"/>
          <w:marBottom w:val="0"/>
          <w:divBdr>
            <w:top w:val="none" w:sz="0" w:space="0" w:color="auto"/>
            <w:left w:val="none" w:sz="0" w:space="0" w:color="auto"/>
            <w:bottom w:val="none" w:sz="0" w:space="0" w:color="auto"/>
            <w:right w:val="none" w:sz="0" w:space="0" w:color="auto"/>
          </w:divBdr>
          <w:divsChild>
            <w:div w:id="764770660">
              <w:marLeft w:val="0"/>
              <w:marRight w:val="0"/>
              <w:marTop w:val="0"/>
              <w:marBottom w:val="0"/>
              <w:divBdr>
                <w:top w:val="none" w:sz="0" w:space="0" w:color="auto"/>
                <w:left w:val="none" w:sz="0" w:space="0" w:color="auto"/>
                <w:bottom w:val="none" w:sz="0" w:space="0" w:color="auto"/>
                <w:right w:val="none" w:sz="0" w:space="0" w:color="auto"/>
              </w:divBdr>
              <w:divsChild>
                <w:div w:id="590429066">
                  <w:marLeft w:val="0"/>
                  <w:marRight w:val="0"/>
                  <w:marTop w:val="0"/>
                  <w:marBottom w:val="0"/>
                  <w:divBdr>
                    <w:top w:val="none" w:sz="0" w:space="0" w:color="auto"/>
                    <w:left w:val="none" w:sz="0" w:space="0" w:color="auto"/>
                    <w:bottom w:val="none" w:sz="0" w:space="0" w:color="auto"/>
                    <w:right w:val="none" w:sz="0" w:space="0" w:color="auto"/>
                  </w:divBdr>
                  <w:divsChild>
                    <w:div w:id="163632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323998">
      <w:bodyDiv w:val="1"/>
      <w:marLeft w:val="0"/>
      <w:marRight w:val="0"/>
      <w:marTop w:val="0"/>
      <w:marBottom w:val="0"/>
      <w:divBdr>
        <w:top w:val="none" w:sz="0" w:space="0" w:color="auto"/>
        <w:left w:val="none" w:sz="0" w:space="0" w:color="auto"/>
        <w:bottom w:val="none" w:sz="0" w:space="0" w:color="auto"/>
        <w:right w:val="none" w:sz="0" w:space="0" w:color="auto"/>
      </w:divBdr>
      <w:divsChild>
        <w:div w:id="758986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E7DD8-9EA2-4159-8AA3-C0481EED3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1923</Words>
  <Characters>10965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Delta Dental of Michigan Clinical Criteria for Utilization Management Decisions</vt:lpstr>
    </vt:vector>
  </TitlesOfParts>
  <Manager>Karen Sager</Manager>
  <Company>Delta Dental of Michigan</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Delta Dental of Michigan Clinical Criteria for Utilization Management Decisions</dc:title>
  <dc:subject>Clinical Criteria for Periodontal Osseous Surgery</dc:subject>
  <dc:creator>UM Committee</dc:creator>
  <cp:keywords/>
  <dc:description>6/21/2025 Revision: New Info Block_x000d_
Document #: TBD_x000d_
Owner: Erik Stier_x000d_
Department: Dental Consulting &amp; UM_x000d_
Initial UM Committee Adoption Date: 11/12/2024_x000d_
Latest UM Committee Adoption Date: N/A_x000d_
Last Annual Review Date: N/A_x000d_
Next Annual Review Date: 8/1/2025</dc:description>
  <cp:lastModifiedBy>Thomas McLellan DDS</cp:lastModifiedBy>
  <cp:revision>8</cp:revision>
  <dcterms:created xsi:type="dcterms:W3CDTF">2025-11-11T02:01:00Z</dcterms:created>
  <dcterms:modified xsi:type="dcterms:W3CDTF">2026-02-20T21:13:00Z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2148553c,4fe1bbb5,745aa8c7</vt:lpwstr>
  </property>
  <property fmtid="{D5CDD505-2E9C-101B-9397-08002B2CF9AE}" pid="3" name="ClassificationContentMarkingHeaderFontProps">
    <vt:lpwstr>#000000,10,Calibri</vt:lpwstr>
  </property>
  <property fmtid="{D5CDD505-2E9C-101B-9397-08002B2CF9AE}" pid="4" name="ClassificationContentMarkingHeaderText">
    <vt:lpwstr>Sensitivity: STRICTLY CONFIDENTIAL</vt:lpwstr>
  </property>
  <property fmtid="{D5CDD505-2E9C-101B-9397-08002B2CF9AE}" pid="5" name="ClassificationContentMarkingFooterShapeIds">
    <vt:lpwstr>6ea7e4b0,68c549aa,6a32a76f</vt:lpwstr>
  </property>
  <property fmtid="{D5CDD505-2E9C-101B-9397-08002B2CF9AE}" pid="6" name="ClassificationContentMarkingFooterFontProps">
    <vt:lpwstr>#000000,10,Calibri</vt:lpwstr>
  </property>
  <property fmtid="{D5CDD505-2E9C-101B-9397-08002B2CF9AE}" pid="7" name="ClassificationContentMarkingFooterText">
    <vt:lpwstr>Sensitivity: STRICTLY CONFIDENTIAL</vt:lpwstr>
  </property>
  <property fmtid="{D5CDD505-2E9C-101B-9397-08002B2CF9AE}" pid="8" name="MSIP_Label_8b9a1e1e-e67a-441a-8acb-107782e7238e_Enabled">
    <vt:lpwstr>true</vt:lpwstr>
  </property>
  <property fmtid="{D5CDD505-2E9C-101B-9397-08002B2CF9AE}" pid="9" name="MSIP_Label_8b9a1e1e-e67a-441a-8acb-107782e7238e_SetDate">
    <vt:lpwstr>2024-05-08T03:37:10Z</vt:lpwstr>
  </property>
  <property fmtid="{D5CDD505-2E9C-101B-9397-08002B2CF9AE}" pid="10" name="MSIP_Label_8b9a1e1e-e67a-441a-8acb-107782e7238e_Method">
    <vt:lpwstr>Standard</vt:lpwstr>
  </property>
  <property fmtid="{D5CDD505-2E9C-101B-9397-08002B2CF9AE}" pid="11" name="MSIP_Label_8b9a1e1e-e67a-441a-8acb-107782e7238e_Name">
    <vt:lpwstr>Strict</vt:lpwstr>
  </property>
  <property fmtid="{D5CDD505-2E9C-101B-9397-08002B2CF9AE}" pid="12" name="MSIP_Label_8b9a1e1e-e67a-441a-8acb-107782e7238e_SiteId">
    <vt:lpwstr>0092ff14-2fb2-424d-9532-35fa5c10c50b</vt:lpwstr>
  </property>
  <property fmtid="{D5CDD505-2E9C-101B-9397-08002B2CF9AE}" pid="13" name="MSIP_Label_8b9a1e1e-e67a-441a-8acb-107782e7238e_ActionId">
    <vt:lpwstr>f8a40c44-957d-4b00-a2c0-a9a443d1712a</vt:lpwstr>
  </property>
  <property fmtid="{D5CDD505-2E9C-101B-9397-08002B2CF9AE}" pid="14" name="MSIP_Label_8b9a1e1e-e67a-441a-8acb-107782e7238e_ContentBits">
    <vt:lpwstr>3</vt:lpwstr>
  </property>
</Properties>
</file>